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2573F" w14:textId="3B1DEB5C" w:rsidR="00E203C2" w:rsidRPr="00EC273B" w:rsidRDefault="00E203C2" w:rsidP="00E203C2">
      <w:pPr>
        <w:rPr>
          <w:lang w:val="en-AU"/>
        </w:rPr>
      </w:pPr>
      <w:r w:rsidRPr="00EC273B">
        <w:rPr>
          <w:noProof/>
          <w:lang w:eastAsia="en-GB" w:bidi="ar-SA"/>
        </w:rPr>
        <w:drawing>
          <wp:inline distT="0" distB="0" distL="0" distR="0" wp14:anchorId="53705D84" wp14:editId="05DB0D47">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879DA1E" w14:textId="77777777" w:rsidR="00E203C2" w:rsidRPr="00EC273B" w:rsidRDefault="00E203C2" w:rsidP="00E203C2">
      <w:pPr>
        <w:rPr>
          <w:lang w:val="en-AU"/>
        </w:rPr>
      </w:pPr>
    </w:p>
    <w:p w14:paraId="15B16D4B" w14:textId="68305EE0" w:rsidR="00CA641D" w:rsidRPr="00604635" w:rsidRDefault="00604635" w:rsidP="00CA641D">
      <w:pPr>
        <w:rPr>
          <w:b/>
          <w:sz w:val="28"/>
          <w:szCs w:val="28"/>
          <w:lang w:val="en-AU"/>
        </w:rPr>
      </w:pPr>
      <w:bookmarkStart w:id="0" w:name="_GoBack"/>
      <w:r w:rsidRPr="00604635">
        <w:rPr>
          <w:b/>
          <w:sz w:val="28"/>
          <w:szCs w:val="28"/>
          <w:lang w:val="en-AU"/>
        </w:rPr>
        <w:t>4 November 2021</w:t>
      </w:r>
    </w:p>
    <w:p w14:paraId="52BA9928" w14:textId="0ABCB5DF" w:rsidR="00CA641D" w:rsidRPr="00604635" w:rsidRDefault="00604635" w:rsidP="00CA641D">
      <w:pPr>
        <w:rPr>
          <w:b/>
          <w:sz w:val="28"/>
          <w:szCs w:val="28"/>
          <w:lang w:val="en-AU"/>
        </w:rPr>
      </w:pPr>
      <w:r w:rsidRPr="00604635">
        <w:rPr>
          <w:b/>
          <w:sz w:val="28"/>
          <w:szCs w:val="28"/>
          <w:lang w:val="en-AU"/>
        </w:rPr>
        <w:t>176-21</w:t>
      </w:r>
    </w:p>
    <w:bookmarkEnd w:id="0"/>
    <w:p w14:paraId="5B92753D" w14:textId="77777777" w:rsidR="0057615C" w:rsidRPr="00EC273B" w:rsidRDefault="0057615C" w:rsidP="00690206">
      <w:pPr>
        <w:pStyle w:val="FSTitle"/>
        <w:rPr>
          <w:b/>
          <w:sz w:val="22"/>
          <w:lang w:val="en-AU"/>
        </w:rPr>
      </w:pPr>
    </w:p>
    <w:p w14:paraId="1CA8799B" w14:textId="25EEBC6A" w:rsidR="00092CDA" w:rsidRPr="00EC273B" w:rsidRDefault="00092CDA" w:rsidP="00690206">
      <w:pPr>
        <w:pStyle w:val="FSTitle"/>
        <w:rPr>
          <w:b/>
          <w:lang w:val="en-AU"/>
        </w:rPr>
      </w:pPr>
      <w:r w:rsidRPr="00EC273B">
        <w:rPr>
          <w:b/>
          <w:lang w:val="en-AU"/>
        </w:rPr>
        <w:t>S</w:t>
      </w:r>
      <w:r w:rsidR="00B12F1E" w:rsidRPr="00EC273B">
        <w:rPr>
          <w:b/>
          <w:lang w:val="en-AU"/>
        </w:rPr>
        <w:t xml:space="preserve">upporting </w:t>
      </w:r>
      <w:r w:rsidR="00B12F1E" w:rsidRPr="0041714A">
        <w:rPr>
          <w:b/>
          <w:lang w:val="en-AU"/>
        </w:rPr>
        <w:t>document</w:t>
      </w:r>
      <w:r w:rsidRPr="0041714A">
        <w:rPr>
          <w:b/>
          <w:lang w:val="en-AU"/>
        </w:rPr>
        <w:t xml:space="preserve"> </w:t>
      </w:r>
      <w:r w:rsidR="003140C4" w:rsidRPr="0041714A">
        <w:rPr>
          <w:b/>
          <w:lang w:val="en-AU"/>
        </w:rPr>
        <w:t>1</w:t>
      </w:r>
    </w:p>
    <w:p w14:paraId="064DFDFD" w14:textId="77777777" w:rsidR="00BA24E2" w:rsidRPr="00EC273B" w:rsidRDefault="00BA24E2" w:rsidP="00E203C2">
      <w:pPr>
        <w:rPr>
          <w:lang w:val="en-AU"/>
        </w:rPr>
      </w:pPr>
    </w:p>
    <w:p w14:paraId="79157BBE" w14:textId="673B56C9" w:rsidR="00D056F1" w:rsidRPr="003140C4" w:rsidRDefault="00320839" w:rsidP="00690206">
      <w:pPr>
        <w:pStyle w:val="FSTitle"/>
        <w:rPr>
          <w:lang w:val="en-AU"/>
        </w:rPr>
      </w:pPr>
      <w:r w:rsidRPr="003140C4">
        <w:rPr>
          <w:lang w:val="en-AU"/>
        </w:rPr>
        <w:t xml:space="preserve">Risk </w:t>
      </w:r>
      <w:r w:rsidR="003140C4" w:rsidRPr="003140C4">
        <w:rPr>
          <w:lang w:val="en-AU"/>
        </w:rPr>
        <w:t xml:space="preserve">and technical </w:t>
      </w:r>
      <w:r w:rsidRPr="003140C4">
        <w:rPr>
          <w:lang w:val="en-AU"/>
        </w:rPr>
        <w:t>assessment</w:t>
      </w:r>
      <w:r w:rsidR="006B5EBE" w:rsidRPr="003140C4">
        <w:rPr>
          <w:lang w:val="en-AU"/>
        </w:rPr>
        <w:t xml:space="preserve"> </w:t>
      </w:r>
      <w:r w:rsidR="003140C4" w:rsidRPr="003140C4">
        <w:rPr>
          <w:lang w:val="en-AU"/>
        </w:rPr>
        <w:t xml:space="preserve">report </w:t>
      </w:r>
      <w:r w:rsidR="006B5EBE" w:rsidRPr="003140C4">
        <w:rPr>
          <w:lang w:val="en-AU"/>
        </w:rPr>
        <w:t xml:space="preserve">– </w:t>
      </w:r>
      <w:r w:rsidR="00D056F1" w:rsidRPr="003140C4">
        <w:rPr>
          <w:lang w:val="en-AU"/>
        </w:rPr>
        <w:t>A</w:t>
      </w:r>
      <w:r w:rsidR="00B12F1E" w:rsidRPr="003140C4">
        <w:rPr>
          <w:lang w:val="en-AU"/>
        </w:rPr>
        <w:t>pplication</w:t>
      </w:r>
      <w:r w:rsidR="00D056F1" w:rsidRPr="003140C4">
        <w:rPr>
          <w:lang w:val="en-AU"/>
        </w:rPr>
        <w:t xml:space="preserve"> A</w:t>
      </w:r>
      <w:r w:rsidR="003140C4" w:rsidRPr="003140C4">
        <w:rPr>
          <w:lang w:val="en-AU"/>
        </w:rPr>
        <w:t>1212</w:t>
      </w:r>
    </w:p>
    <w:p w14:paraId="48392800" w14:textId="77777777" w:rsidR="00E203C2" w:rsidRPr="00EC273B" w:rsidRDefault="00E203C2" w:rsidP="00690206">
      <w:pPr>
        <w:rPr>
          <w:lang w:val="en-AU"/>
        </w:rPr>
      </w:pPr>
    </w:p>
    <w:p w14:paraId="6FABEA01" w14:textId="5D3D116F" w:rsidR="003140C4" w:rsidRDefault="003140C4" w:rsidP="003140C4">
      <w:pPr>
        <w:pBdr>
          <w:bottom w:val="single" w:sz="12" w:space="1" w:color="auto"/>
        </w:pBdr>
        <w:spacing w:line="280" w:lineRule="exact"/>
        <w:rPr>
          <w:sz w:val="32"/>
          <w:szCs w:val="32"/>
        </w:rPr>
      </w:pPr>
      <w:r w:rsidRPr="003524E2">
        <w:rPr>
          <w:sz w:val="32"/>
          <w:szCs w:val="32"/>
        </w:rPr>
        <w:t xml:space="preserve">Beta-fructofuranosidase enzyme from </w:t>
      </w:r>
      <w:r w:rsidRPr="00CF61A9">
        <w:rPr>
          <w:i/>
          <w:sz w:val="32"/>
          <w:szCs w:val="32"/>
        </w:rPr>
        <w:t>Aspergillus fijiensis</w:t>
      </w:r>
    </w:p>
    <w:p w14:paraId="17DAB6BE" w14:textId="6699CAF9" w:rsidR="00E203C2" w:rsidRPr="00EC273B" w:rsidRDefault="00E203C2" w:rsidP="00E203C2">
      <w:pPr>
        <w:pBdr>
          <w:bottom w:val="single" w:sz="12" w:space="1" w:color="auto"/>
        </w:pBdr>
        <w:spacing w:line="280" w:lineRule="exact"/>
        <w:rPr>
          <w:rFonts w:cs="Arial"/>
          <w:bCs/>
          <w:lang w:val="en-AU"/>
        </w:rPr>
      </w:pPr>
    </w:p>
    <w:p w14:paraId="3CA16420" w14:textId="77777777" w:rsidR="00E203C2" w:rsidRPr="00EC273B" w:rsidRDefault="00E203C2" w:rsidP="00E203C2">
      <w:pPr>
        <w:rPr>
          <w:lang w:val="en-AU"/>
        </w:rPr>
      </w:pPr>
    </w:p>
    <w:p w14:paraId="168AF5F2" w14:textId="77777777" w:rsidR="00092CDA" w:rsidRPr="00EC273B" w:rsidRDefault="00092CDA" w:rsidP="00352CF2">
      <w:pPr>
        <w:pStyle w:val="Heading1"/>
        <w:spacing w:before="0"/>
        <w:rPr>
          <w:lang w:val="en-AU"/>
        </w:rPr>
      </w:pPr>
      <w:bookmarkStart w:id="1" w:name="_Toc286391001"/>
      <w:bookmarkStart w:id="2" w:name="_Toc300933414"/>
      <w:bookmarkStart w:id="3" w:name="_Toc85467262"/>
      <w:r w:rsidRPr="00EC273B">
        <w:rPr>
          <w:lang w:val="en-AU"/>
        </w:rPr>
        <w:t xml:space="preserve">Executive </w:t>
      </w:r>
      <w:r w:rsidR="00B12F1E" w:rsidRPr="00EC273B">
        <w:rPr>
          <w:lang w:val="en-AU"/>
        </w:rPr>
        <w:t>s</w:t>
      </w:r>
      <w:r w:rsidRPr="00EC273B">
        <w:rPr>
          <w:lang w:val="en-AU"/>
        </w:rPr>
        <w:t>ummary</w:t>
      </w:r>
      <w:bookmarkEnd w:id="1"/>
      <w:bookmarkEnd w:id="2"/>
      <w:bookmarkEnd w:id="3"/>
    </w:p>
    <w:p w14:paraId="560C0251" w14:textId="77777777" w:rsidR="008200AA" w:rsidRDefault="008F3DB4" w:rsidP="008F3DB4">
      <w:pPr>
        <w:rPr>
          <w:rFonts w:cs="Arial"/>
        </w:rPr>
      </w:pPr>
      <w:r w:rsidRPr="00F94B3D">
        <w:rPr>
          <w:rFonts w:cs="Arial"/>
        </w:rPr>
        <w:t>Meiji Food Materia Co., Ltd</w:t>
      </w:r>
      <w:r>
        <w:rPr>
          <w:rFonts w:cs="Arial"/>
        </w:rPr>
        <w:t xml:space="preserve"> </w:t>
      </w:r>
      <w:r w:rsidRPr="0010797F">
        <w:rPr>
          <w:lang w:val="en-AU"/>
        </w:rPr>
        <w:t xml:space="preserve">applied to Food Standards Australia New Zealand (FSANZ) to amend Schedule 18 – Processing Aids of the Australia New Zealand Food Standards Code (the Code) to include </w:t>
      </w:r>
      <w:r w:rsidRPr="00332EA5">
        <w:rPr>
          <w:rFonts w:cs="Arial"/>
          <w:i/>
          <w:iCs/>
        </w:rPr>
        <w:t>Aspergillus fijiensis</w:t>
      </w:r>
      <w:r w:rsidRPr="0010797F">
        <w:rPr>
          <w:lang w:val="en-AU"/>
        </w:rPr>
        <w:t xml:space="preserve"> </w:t>
      </w:r>
      <w:r>
        <w:rPr>
          <w:lang w:val="en-AU"/>
        </w:rPr>
        <w:t xml:space="preserve">as </w:t>
      </w:r>
      <w:r w:rsidR="003613EB">
        <w:rPr>
          <w:lang w:val="en-AU"/>
        </w:rPr>
        <w:t xml:space="preserve">a </w:t>
      </w:r>
      <w:r w:rsidRPr="00332EA5">
        <w:rPr>
          <w:rFonts w:cs="Arial"/>
        </w:rPr>
        <w:t xml:space="preserve">microbial source for the production of the </w:t>
      </w:r>
      <w:r w:rsidR="006E0C2B">
        <w:rPr>
          <w:rFonts w:cs="Arial"/>
        </w:rPr>
        <w:t>approved</w:t>
      </w:r>
      <w:r w:rsidR="000D5E30">
        <w:rPr>
          <w:rFonts w:cs="Arial"/>
        </w:rPr>
        <w:t xml:space="preserve"> </w:t>
      </w:r>
      <w:r w:rsidRPr="00332EA5">
        <w:rPr>
          <w:rFonts w:cs="Arial"/>
        </w:rPr>
        <w:t xml:space="preserve">processing aid </w:t>
      </w:r>
      <w:r w:rsidR="006642A3">
        <w:rPr>
          <w:rFonts w:cs="Arial"/>
        </w:rPr>
        <w:t>beta</w:t>
      </w:r>
      <w:r w:rsidRPr="00332EA5">
        <w:rPr>
          <w:rFonts w:cs="Arial"/>
        </w:rPr>
        <w:t>-fructofuranosidase</w:t>
      </w:r>
      <w:r>
        <w:rPr>
          <w:rFonts w:cs="Arial"/>
        </w:rPr>
        <w:t>.</w:t>
      </w:r>
    </w:p>
    <w:p w14:paraId="65F9D6E9" w14:textId="77777777" w:rsidR="008200AA" w:rsidRDefault="008200AA" w:rsidP="008F3DB4">
      <w:pPr>
        <w:rPr>
          <w:rFonts w:cs="Arial"/>
        </w:rPr>
      </w:pPr>
    </w:p>
    <w:p w14:paraId="4C86FBBF" w14:textId="160D60FF" w:rsidR="008F3DB4" w:rsidRDefault="00D318ED" w:rsidP="008F3DB4">
      <w:pPr>
        <w:rPr>
          <w:rFonts w:cs="Arial"/>
        </w:rPr>
      </w:pPr>
      <w:r>
        <w:t xml:space="preserve">Methods for identifying microorganisms are constantly evolving and in some cases microorganisms will be re-identified as different species. In this application, a microbial source of </w:t>
      </w:r>
      <w:r w:rsidRPr="00B27803">
        <w:t>beta-fructofuranosidase (</w:t>
      </w:r>
      <w:r>
        <w:t xml:space="preserve">EC </w:t>
      </w:r>
      <w:r w:rsidRPr="00B27803">
        <w:t>number 3.2.1.26</w:t>
      </w:r>
      <w:r>
        <w:t xml:space="preserve">) currently approved in the Code was originally identified as the species </w:t>
      </w:r>
      <w:r w:rsidRPr="00B91BAF">
        <w:rPr>
          <w:i/>
        </w:rPr>
        <w:t>A. niger</w:t>
      </w:r>
      <w:r>
        <w:rPr>
          <w:i/>
        </w:rPr>
        <w:t xml:space="preserve">, </w:t>
      </w:r>
      <w:r w:rsidRPr="00B91BAF">
        <w:t xml:space="preserve">but </w:t>
      </w:r>
      <w:r>
        <w:t>advanced methods have</w:t>
      </w:r>
      <w:r w:rsidRPr="00B91BAF">
        <w:t xml:space="preserve"> </w:t>
      </w:r>
      <w:r>
        <w:t xml:space="preserve">now identified it as the </w:t>
      </w:r>
      <w:r w:rsidRPr="00B91BAF">
        <w:t>species</w:t>
      </w:r>
      <w:r>
        <w:rPr>
          <w:i/>
        </w:rPr>
        <w:t xml:space="preserve"> A. fijiensis.</w:t>
      </w:r>
    </w:p>
    <w:p w14:paraId="14DD7093" w14:textId="53AB1BB1" w:rsidR="006642A3" w:rsidRDefault="006642A3" w:rsidP="008F3DB4">
      <w:pPr>
        <w:rPr>
          <w:lang w:val="en-AU"/>
        </w:rPr>
      </w:pPr>
    </w:p>
    <w:p w14:paraId="4F53ADB6" w14:textId="0EFBF024" w:rsidR="008F3DB4" w:rsidRPr="00B27803" w:rsidRDefault="008F3DB4" w:rsidP="00B27803">
      <w:pPr>
        <w:widowControl/>
        <w:rPr>
          <w:lang w:val="en-AU"/>
        </w:rPr>
      </w:pPr>
      <w:r w:rsidRPr="00B94A0C">
        <w:rPr>
          <w:rFonts w:cs="Arial"/>
          <w:lang w:val="en-AU" w:bidi="ar-SA"/>
        </w:rPr>
        <w:t xml:space="preserve">The enzyme meets international purity specifications and </w:t>
      </w:r>
      <w:r w:rsidRPr="00C10C56">
        <w:rPr>
          <w:szCs w:val="20"/>
        </w:rPr>
        <w:t>has a long safe history of use in Australia and New Zealand</w:t>
      </w:r>
      <w:r w:rsidR="00C42CDD">
        <w:rPr>
          <w:szCs w:val="20"/>
        </w:rPr>
        <w:t>.</w:t>
      </w:r>
    </w:p>
    <w:p w14:paraId="2E6B9F84" w14:textId="77777777" w:rsidR="00421BC4" w:rsidRDefault="00421BC4" w:rsidP="00741EA4"/>
    <w:p w14:paraId="5DD2895D" w14:textId="7ED57F0E" w:rsidR="00B27803" w:rsidRDefault="00741EA4" w:rsidP="00741EA4">
      <w:pPr>
        <w:rPr>
          <w:lang w:bidi="ar-SA"/>
        </w:rPr>
      </w:pPr>
      <w:r>
        <w:t>No public health and safety concerns were identified in the assessment of b</w:t>
      </w:r>
      <w:r w:rsidRPr="009630DC">
        <w:rPr>
          <w:lang w:val="en-AU"/>
        </w:rPr>
        <w:t>eta</w:t>
      </w:r>
      <w:r w:rsidRPr="00EC273B">
        <w:rPr>
          <w:lang w:val="en-AU"/>
        </w:rPr>
        <w:t>-</w:t>
      </w:r>
      <w:r w:rsidRPr="00860D71">
        <w:rPr>
          <w:lang w:val="en-AU"/>
        </w:rPr>
        <w:t xml:space="preserve">fructofuranosidase from </w:t>
      </w:r>
      <w:r w:rsidR="00247CE4" w:rsidRPr="008061C0">
        <w:rPr>
          <w:rFonts w:cs="Arial"/>
          <w:i/>
          <w:iCs/>
          <w:color w:val="000000" w:themeColor="text1"/>
          <w:szCs w:val="22"/>
        </w:rPr>
        <w:t>A</w:t>
      </w:r>
      <w:r w:rsidR="00247CE4">
        <w:rPr>
          <w:rFonts w:cs="Arial"/>
          <w:i/>
          <w:iCs/>
          <w:color w:val="000000" w:themeColor="text1"/>
          <w:szCs w:val="22"/>
        </w:rPr>
        <w:t>.</w:t>
      </w:r>
      <w:r w:rsidR="00247CE4" w:rsidRPr="008061C0">
        <w:rPr>
          <w:rFonts w:cs="Arial"/>
          <w:i/>
          <w:iCs/>
          <w:color w:val="000000" w:themeColor="text1"/>
          <w:szCs w:val="22"/>
        </w:rPr>
        <w:t xml:space="preserve"> fijiensis</w:t>
      </w:r>
      <w:r w:rsidR="00247CE4" w:rsidRPr="008061C0">
        <w:rPr>
          <w:rFonts w:cs="Arial"/>
          <w:color w:val="000000" w:themeColor="text1"/>
          <w:szCs w:val="22"/>
        </w:rPr>
        <w:t xml:space="preserve"> ATCC 20611</w:t>
      </w:r>
      <w:r w:rsidR="00247CE4" w:rsidRPr="00860D71">
        <w:t xml:space="preserve"> </w:t>
      </w:r>
      <w:r w:rsidRPr="00860D71">
        <w:t>under the proposed use conditions.</w:t>
      </w:r>
      <w:r w:rsidR="00D318ED">
        <w:t xml:space="preserve"> </w:t>
      </w:r>
      <w:r w:rsidR="005114E9">
        <w:t xml:space="preserve">Based on the limited data available in the literature for the species </w:t>
      </w:r>
      <w:r w:rsidR="005114E9" w:rsidRPr="003407EF">
        <w:rPr>
          <w:i/>
        </w:rPr>
        <w:t>A. fijiensis</w:t>
      </w:r>
      <w:r w:rsidR="005114E9">
        <w:t xml:space="preserve"> and </w:t>
      </w:r>
      <w:r w:rsidR="00767046">
        <w:t>as</w:t>
      </w:r>
      <w:r w:rsidR="005114E9">
        <w:t xml:space="preserve"> it has not previously been approved as an enzyme source</w:t>
      </w:r>
      <w:r w:rsidR="00363F0B">
        <w:t xml:space="preserve"> in the Code</w:t>
      </w:r>
      <w:r w:rsidR="005114E9">
        <w:t xml:space="preserve">, </w:t>
      </w:r>
      <w:r w:rsidR="005114E9">
        <w:rPr>
          <w:rFonts w:cs="Arial"/>
          <w:color w:val="000000" w:themeColor="text1"/>
          <w:szCs w:val="22"/>
        </w:rPr>
        <w:t>it is</w:t>
      </w:r>
      <w:r w:rsidR="00E1370F">
        <w:rPr>
          <w:rFonts w:cs="Arial"/>
          <w:color w:val="000000" w:themeColor="text1"/>
          <w:szCs w:val="22"/>
        </w:rPr>
        <w:t xml:space="preserve"> </w:t>
      </w:r>
      <w:r w:rsidR="00E1370F">
        <w:t>recommended that the source organism be designated at the strain level</w:t>
      </w:r>
      <w:r w:rsidR="00767046">
        <w:t>,</w:t>
      </w:r>
      <w:r w:rsidR="00E1370F">
        <w:t xml:space="preserve"> rather than the species level</w:t>
      </w:r>
      <w:r w:rsidR="005114E9">
        <w:t>.</w:t>
      </w:r>
      <w:r w:rsidR="00E1370F">
        <w:t xml:space="preserve"> </w:t>
      </w:r>
      <w:r w:rsidR="005114E9">
        <w:t>T</w:t>
      </w:r>
      <w:r w:rsidR="00E1370F">
        <w:t>he identified strain</w:t>
      </w:r>
      <w:r w:rsidR="00767046">
        <w:t>,</w:t>
      </w:r>
      <w:r w:rsidR="00E1370F">
        <w:t xml:space="preserve"> </w:t>
      </w:r>
      <w:r w:rsidR="00E1370F" w:rsidRPr="008061C0">
        <w:rPr>
          <w:rFonts w:cs="Arial"/>
          <w:i/>
          <w:iCs/>
          <w:color w:val="000000" w:themeColor="text1"/>
          <w:szCs w:val="22"/>
        </w:rPr>
        <w:t>A</w:t>
      </w:r>
      <w:r w:rsidR="00E1370F">
        <w:rPr>
          <w:rFonts w:cs="Arial"/>
          <w:i/>
          <w:iCs/>
          <w:color w:val="000000" w:themeColor="text1"/>
          <w:szCs w:val="22"/>
        </w:rPr>
        <w:t>.</w:t>
      </w:r>
      <w:r w:rsidR="00E1370F" w:rsidRPr="008061C0">
        <w:rPr>
          <w:rFonts w:cs="Arial"/>
          <w:i/>
          <w:iCs/>
          <w:color w:val="000000" w:themeColor="text1"/>
          <w:szCs w:val="22"/>
        </w:rPr>
        <w:t xml:space="preserve"> fijiensis</w:t>
      </w:r>
      <w:r w:rsidR="00E1370F">
        <w:rPr>
          <w:rFonts w:cs="Arial"/>
          <w:color w:val="000000" w:themeColor="text1"/>
          <w:szCs w:val="22"/>
        </w:rPr>
        <w:t xml:space="preserve"> ATCC </w:t>
      </w:r>
      <w:r w:rsidR="00E1370F" w:rsidRPr="008061C0">
        <w:rPr>
          <w:rFonts w:cs="Arial"/>
          <w:color w:val="000000" w:themeColor="text1"/>
          <w:szCs w:val="22"/>
        </w:rPr>
        <w:t>20611</w:t>
      </w:r>
      <w:r w:rsidR="00767046">
        <w:rPr>
          <w:rFonts w:cs="Arial"/>
          <w:color w:val="000000" w:themeColor="text1"/>
          <w:szCs w:val="22"/>
        </w:rPr>
        <w:t>,</w:t>
      </w:r>
      <w:r w:rsidR="00E1370F">
        <w:rPr>
          <w:lang w:bidi="ar-SA"/>
        </w:rPr>
        <w:t xml:space="preserve"> </w:t>
      </w:r>
      <w:r w:rsidR="00E1370F" w:rsidRPr="0041182E">
        <w:rPr>
          <w:lang w:bidi="ar-SA"/>
        </w:rPr>
        <w:t>is n</w:t>
      </w:r>
      <w:r w:rsidR="00E1370F">
        <w:rPr>
          <w:lang w:bidi="ar-SA"/>
        </w:rPr>
        <w:t>either toxigenic nor pathogenic</w:t>
      </w:r>
      <w:r w:rsidR="00767046">
        <w:rPr>
          <w:lang w:bidi="ar-SA"/>
        </w:rPr>
        <w:t>.</w:t>
      </w:r>
      <w:r w:rsidR="005114E9">
        <w:rPr>
          <w:lang w:bidi="ar-SA"/>
        </w:rPr>
        <w:t xml:space="preserve"> </w:t>
      </w:r>
    </w:p>
    <w:p w14:paraId="58FD9A51" w14:textId="77777777" w:rsidR="00B27803" w:rsidRDefault="00B27803" w:rsidP="00741EA4">
      <w:pPr>
        <w:rPr>
          <w:lang w:bidi="ar-SA"/>
        </w:rPr>
      </w:pPr>
    </w:p>
    <w:p w14:paraId="015B27D5" w14:textId="4CED6590" w:rsidR="00741EA4" w:rsidRPr="00860D71" w:rsidRDefault="00D4133A" w:rsidP="00741EA4">
      <w:pPr>
        <w:rPr>
          <w:lang w:bidi="ar-SA"/>
        </w:rPr>
      </w:pPr>
      <w:r>
        <w:rPr>
          <w:lang w:bidi="ar-SA"/>
        </w:rPr>
        <w:t>B</w:t>
      </w:r>
      <w:r w:rsidRPr="00D4133A">
        <w:rPr>
          <w:lang w:bidi="ar-SA"/>
        </w:rPr>
        <w:t xml:space="preserve">eta-fructofuranosidase from </w:t>
      </w:r>
      <w:r w:rsidRPr="00C42CDD">
        <w:rPr>
          <w:i/>
          <w:lang w:bidi="ar-SA"/>
        </w:rPr>
        <w:t>A. fijiensis</w:t>
      </w:r>
      <w:r w:rsidRPr="00D4133A">
        <w:rPr>
          <w:lang w:bidi="ar-SA"/>
        </w:rPr>
        <w:t xml:space="preserve"> </w:t>
      </w:r>
      <w:r>
        <w:rPr>
          <w:lang w:bidi="ar-SA"/>
        </w:rPr>
        <w:t xml:space="preserve">was not genotoxic </w:t>
      </w:r>
      <w:r w:rsidRPr="00C42CDD">
        <w:rPr>
          <w:i/>
          <w:lang w:bidi="ar-SA"/>
        </w:rPr>
        <w:t>in vitro</w:t>
      </w:r>
      <w:r>
        <w:rPr>
          <w:lang w:bidi="ar-SA"/>
        </w:rPr>
        <w:t xml:space="preserve">. </w:t>
      </w:r>
      <w:r w:rsidR="00421BC4" w:rsidRPr="007E444C">
        <w:rPr>
          <w:lang w:bidi="ar-SA"/>
        </w:rPr>
        <w:t>The no observed adverse effect level (NOAEL) in a 13-week repeated dose oral toxicity study in rats was the highest dose tested and corresponds to</w:t>
      </w:r>
      <w:r w:rsidR="00421BC4" w:rsidRPr="00421BC4">
        <w:t xml:space="preserve"> 920 mg/kg bw/day </w:t>
      </w:r>
      <w:r w:rsidR="00421BC4" w:rsidRPr="007E444C">
        <w:rPr>
          <w:lang w:bidi="ar-SA"/>
        </w:rPr>
        <w:t>total organic solids (TOS)</w:t>
      </w:r>
      <w:r w:rsidR="00421BC4" w:rsidRPr="00421BC4">
        <w:t xml:space="preserve">. The </w:t>
      </w:r>
      <w:r w:rsidR="00421BC4" w:rsidRPr="007E444C">
        <w:t>theoretical maximum daily intake (TMDI</w:t>
      </w:r>
      <w:r w:rsidR="00421BC4">
        <w:t>) was calculated to be</w:t>
      </w:r>
      <w:r w:rsidR="00421BC4" w:rsidRPr="00421BC4">
        <w:t xml:space="preserve"> 0.52 mg/kg bw/day TOS for adults </w:t>
      </w:r>
      <w:r w:rsidR="00D76C84">
        <w:t>and</w:t>
      </w:r>
      <w:r w:rsidR="00D76C84" w:rsidRPr="00421BC4">
        <w:t xml:space="preserve"> </w:t>
      </w:r>
      <w:r w:rsidR="00421BC4" w:rsidRPr="00421BC4">
        <w:t>0.</w:t>
      </w:r>
      <w:r w:rsidR="0055630D">
        <w:t>19</w:t>
      </w:r>
      <w:r w:rsidR="00D76C84">
        <w:t> </w:t>
      </w:r>
      <w:r w:rsidR="00421BC4" w:rsidRPr="00421BC4">
        <w:t>mg/kg bw/day for children. Comparison of the NOAEL and the calculated TMDIs gives a Margin of Ex</w:t>
      </w:r>
      <w:r w:rsidR="00421BC4">
        <w:t>posure (MOE) of more than 1</w:t>
      </w:r>
      <w:r w:rsidR="000F47B9">
        <w:t>,</w:t>
      </w:r>
      <w:r w:rsidR="00421BC4">
        <w:t>7</w:t>
      </w:r>
      <w:r w:rsidR="00421BC4" w:rsidRPr="00421BC4">
        <w:t>00 for</w:t>
      </w:r>
      <w:r w:rsidR="00421BC4">
        <w:t xml:space="preserve"> adults and 4,</w:t>
      </w:r>
      <w:r w:rsidR="0055630D">
        <w:t>9</w:t>
      </w:r>
      <w:r w:rsidR="00421BC4">
        <w:t>00 for children</w:t>
      </w:r>
      <w:r w:rsidR="00421BC4" w:rsidRPr="00421BC4">
        <w:t>.</w:t>
      </w:r>
    </w:p>
    <w:p w14:paraId="6C0A01FA" w14:textId="568B4683" w:rsidR="00092CDA" w:rsidRDefault="00092CDA" w:rsidP="00690206">
      <w:pPr>
        <w:rPr>
          <w:lang w:val="en-AU"/>
        </w:rPr>
      </w:pPr>
    </w:p>
    <w:p w14:paraId="2A58E3C0" w14:textId="4F72C485" w:rsidR="000F47B9" w:rsidRDefault="000F47B9" w:rsidP="000F47B9">
      <w:r w:rsidRPr="00167D32">
        <w:t xml:space="preserve">A low degree of homology was found between the </w:t>
      </w:r>
      <w:r w:rsidRPr="00167D32">
        <w:rPr>
          <w:lang w:val="en-AU"/>
        </w:rPr>
        <w:t>beta-fructofuranosidase from</w:t>
      </w:r>
      <w:r w:rsidRPr="00167D32">
        <w:t xml:space="preserve"> </w:t>
      </w:r>
      <w:r w:rsidRPr="00167D32">
        <w:rPr>
          <w:i/>
          <w:lang w:val="en-AU"/>
        </w:rPr>
        <w:t>A. fijiensis</w:t>
      </w:r>
      <w:r w:rsidRPr="00167D32">
        <w:rPr>
          <w:lang w:val="en-AU"/>
        </w:rPr>
        <w:t xml:space="preserve"> </w:t>
      </w:r>
      <w:r w:rsidRPr="00167D32">
        <w:t xml:space="preserve">and </w:t>
      </w:r>
      <w:r w:rsidRPr="00167D32">
        <w:rPr>
          <w:lang w:val="en-AU" w:eastAsia="en-AU"/>
        </w:rPr>
        <w:t xml:space="preserve">peanut agglutinin precursor from </w:t>
      </w:r>
      <w:r w:rsidRPr="00167D32">
        <w:rPr>
          <w:i/>
          <w:lang w:val="en-AU" w:eastAsia="en-AU"/>
        </w:rPr>
        <w:t>Arachis hypogaea</w:t>
      </w:r>
      <w:r w:rsidRPr="00167D32">
        <w:t xml:space="preserve">. </w:t>
      </w:r>
      <w:r w:rsidR="00D4133A" w:rsidRPr="00D4133A">
        <w:t>Given the low degree of homology, the low levels likely to be found in foods, and the absence of case reports of food allergy to beta-fructofuranosidase</w:t>
      </w:r>
      <w:r w:rsidR="005F0421">
        <w:t>,</w:t>
      </w:r>
      <w:r w:rsidR="00D4133A" w:rsidRPr="00D4133A">
        <w:t xml:space="preserve"> the risk of food allergy from the proposed uses of the enzyme is likely to be low. </w:t>
      </w:r>
    </w:p>
    <w:p w14:paraId="4B3C8656" w14:textId="77777777" w:rsidR="000F47B9" w:rsidRPr="00EC273B" w:rsidRDefault="000F47B9" w:rsidP="00690206">
      <w:pPr>
        <w:rPr>
          <w:lang w:val="en-AU"/>
        </w:rPr>
      </w:pPr>
    </w:p>
    <w:p w14:paraId="270CA223" w14:textId="77777777" w:rsidR="00741EA4" w:rsidRDefault="00741EA4" w:rsidP="00741EA4">
      <w:r>
        <w:t>Based on the reviewed data it is concluded that in the absence of any identifiable hazard an</w:t>
      </w:r>
    </w:p>
    <w:p w14:paraId="56FAD572" w14:textId="7F4314F7" w:rsidR="00092CDA" w:rsidRPr="00EC273B" w:rsidRDefault="00741EA4" w:rsidP="00690206">
      <w:pPr>
        <w:rPr>
          <w:lang w:val="en-AU"/>
        </w:rPr>
      </w:pPr>
      <w:r>
        <w:t>Acceptable Daily Intake (ADI) ‘not specified’ is appropriate.</w:t>
      </w:r>
    </w:p>
    <w:p w14:paraId="6FDB598B" w14:textId="77777777" w:rsidR="00092CDA" w:rsidRPr="00EC273B" w:rsidRDefault="00092CDA" w:rsidP="00690206">
      <w:pPr>
        <w:rPr>
          <w:lang w:val="en-AU"/>
        </w:rPr>
        <w:sectPr w:rsidR="00092CDA" w:rsidRPr="00EC273B" w:rsidSect="0054272D">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p>
    <w:p w14:paraId="4D070F40" w14:textId="77777777" w:rsidR="00562917" w:rsidRPr="00EC273B" w:rsidRDefault="00562917" w:rsidP="002A3314">
      <w:pPr>
        <w:pStyle w:val="TOCHeading"/>
        <w:rPr>
          <w:b w:val="0"/>
          <w:sz w:val="32"/>
          <w:lang w:val="en-AU"/>
        </w:rPr>
      </w:pPr>
      <w:r w:rsidRPr="00EC273B">
        <w:rPr>
          <w:b w:val="0"/>
          <w:sz w:val="32"/>
          <w:lang w:val="en-AU"/>
        </w:rPr>
        <w:lastRenderedPageBreak/>
        <w:t xml:space="preserve">Table of </w:t>
      </w:r>
      <w:r w:rsidR="00A77BFA" w:rsidRPr="00EC273B">
        <w:rPr>
          <w:b w:val="0"/>
          <w:sz w:val="32"/>
          <w:lang w:val="en-AU"/>
        </w:rPr>
        <w:t>c</w:t>
      </w:r>
      <w:r w:rsidRPr="00EC273B">
        <w:rPr>
          <w:b w:val="0"/>
          <w:sz w:val="32"/>
          <w:lang w:val="en-AU"/>
        </w:rPr>
        <w:t>ontents</w:t>
      </w:r>
    </w:p>
    <w:p w14:paraId="3E568041" w14:textId="57334425" w:rsidR="00931432" w:rsidRDefault="00326D85">
      <w:pPr>
        <w:pStyle w:val="TOC1"/>
        <w:tabs>
          <w:tab w:val="right" w:leader="dot" w:pos="9060"/>
        </w:tabs>
        <w:rPr>
          <w:rFonts w:eastAsiaTheme="minorEastAsia" w:cstheme="minorBidi"/>
          <w:b w:val="0"/>
          <w:bCs w:val="0"/>
          <w:caps w:val="0"/>
          <w:noProof/>
          <w:sz w:val="22"/>
          <w:szCs w:val="22"/>
          <w:lang w:eastAsia="en-GB" w:bidi="ar-SA"/>
        </w:rPr>
      </w:pPr>
      <w:r w:rsidRPr="00EC273B">
        <w:rPr>
          <w:lang w:val="en-AU"/>
        </w:rPr>
        <w:fldChar w:fldCharType="begin"/>
      </w:r>
      <w:r w:rsidRPr="00EC273B">
        <w:rPr>
          <w:lang w:val="en-AU"/>
        </w:rPr>
        <w:instrText xml:space="preserve"> TOC \o "1-3" \h \z \u </w:instrText>
      </w:r>
      <w:r w:rsidRPr="00EC273B">
        <w:rPr>
          <w:lang w:val="en-AU"/>
        </w:rPr>
        <w:fldChar w:fldCharType="separate"/>
      </w:r>
      <w:hyperlink w:anchor="_Toc85467262" w:history="1">
        <w:r w:rsidR="00931432" w:rsidRPr="002F5826">
          <w:rPr>
            <w:rStyle w:val="Hyperlink"/>
            <w:noProof/>
            <w:lang w:val="en-AU"/>
          </w:rPr>
          <w:t>Executive summary</w:t>
        </w:r>
        <w:r w:rsidR="00931432">
          <w:rPr>
            <w:noProof/>
            <w:webHidden/>
          </w:rPr>
          <w:tab/>
        </w:r>
        <w:r w:rsidR="00931432">
          <w:rPr>
            <w:noProof/>
            <w:webHidden/>
          </w:rPr>
          <w:fldChar w:fldCharType="begin"/>
        </w:r>
        <w:r w:rsidR="00931432">
          <w:rPr>
            <w:noProof/>
            <w:webHidden/>
          </w:rPr>
          <w:instrText xml:space="preserve"> PAGEREF _Toc85467262 \h </w:instrText>
        </w:r>
        <w:r w:rsidR="00931432">
          <w:rPr>
            <w:noProof/>
            <w:webHidden/>
          </w:rPr>
        </w:r>
        <w:r w:rsidR="00931432">
          <w:rPr>
            <w:noProof/>
            <w:webHidden/>
          </w:rPr>
          <w:fldChar w:fldCharType="separate"/>
        </w:r>
        <w:r w:rsidR="00931432">
          <w:rPr>
            <w:noProof/>
            <w:webHidden/>
          </w:rPr>
          <w:t>i</w:t>
        </w:r>
        <w:r w:rsidR="00931432">
          <w:rPr>
            <w:noProof/>
            <w:webHidden/>
          </w:rPr>
          <w:fldChar w:fldCharType="end"/>
        </w:r>
      </w:hyperlink>
    </w:p>
    <w:p w14:paraId="1783137C" w14:textId="3B43ADC8" w:rsidR="00931432" w:rsidRDefault="00CE7740">
      <w:pPr>
        <w:pStyle w:val="TOC1"/>
        <w:tabs>
          <w:tab w:val="left" w:pos="440"/>
          <w:tab w:val="right" w:leader="dot" w:pos="9060"/>
        </w:tabs>
        <w:rPr>
          <w:rFonts w:eastAsiaTheme="minorEastAsia" w:cstheme="minorBidi"/>
          <w:b w:val="0"/>
          <w:bCs w:val="0"/>
          <w:caps w:val="0"/>
          <w:noProof/>
          <w:sz w:val="22"/>
          <w:szCs w:val="22"/>
          <w:lang w:eastAsia="en-GB" w:bidi="ar-SA"/>
        </w:rPr>
      </w:pPr>
      <w:hyperlink w:anchor="_Toc85467263" w:history="1">
        <w:r w:rsidR="00931432" w:rsidRPr="002F5826">
          <w:rPr>
            <w:rStyle w:val="Hyperlink"/>
            <w:noProof/>
            <w:lang w:val="en-AU"/>
          </w:rPr>
          <w:t>1.</w:t>
        </w:r>
        <w:r w:rsidR="00931432">
          <w:rPr>
            <w:rFonts w:eastAsiaTheme="minorEastAsia" w:cstheme="minorBidi"/>
            <w:b w:val="0"/>
            <w:bCs w:val="0"/>
            <w:caps w:val="0"/>
            <w:noProof/>
            <w:sz w:val="22"/>
            <w:szCs w:val="22"/>
            <w:lang w:eastAsia="en-GB" w:bidi="ar-SA"/>
          </w:rPr>
          <w:tab/>
        </w:r>
        <w:r w:rsidR="00931432" w:rsidRPr="002F5826">
          <w:rPr>
            <w:rStyle w:val="Hyperlink"/>
            <w:noProof/>
            <w:lang w:val="en-AU"/>
          </w:rPr>
          <w:t>Introduction</w:t>
        </w:r>
        <w:r w:rsidR="00931432">
          <w:rPr>
            <w:noProof/>
            <w:webHidden/>
          </w:rPr>
          <w:tab/>
        </w:r>
        <w:r w:rsidR="00931432">
          <w:rPr>
            <w:noProof/>
            <w:webHidden/>
          </w:rPr>
          <w:fldChar w:fldCharType="begin"/>
        </w:r>
        <w:r w:rsidR="00931432">
          <w:rPr>
            <w:noProof/>
            <w:webHidden/>
          </w:rPr>
          <w:instrText xml:space="preserve"> PAGEREF _Toc85467263 \h </w:instrText>
        </w:r>
        <w:r w:rsidR="00931432">
          <w:rPr>
            <w:noProof/>
            <w:webHidden/>
          </w:rPr>
        </w:r>
        <w:r w:rsidR="00931432">
          <w:rPr>
            <w:noProof/>
            <w:webHidden/>
          </w:rPr>
          <w:fldChar w:fldCharType="separate"/>
        </w:r>
        <w:r w:rsidR="00931432">
          <w:rPr>
            <w:noProof/>
            <w:webHidden/>
          </w:rPr>
          <w:t>2</w:t>
        </w:r>
        <w:r w:rsidR="00931432">
          <w:rPr>
            <w:noProof/>
            <w:webHidden/>
          </w:rPr>
          <w:fldChar w:fldCharType="end"/>
        </w:r>
      </w:hyperlink>
    </w:p>
    <w:p w14:paraId="1A8F35AB" w14:textId="6600E0F4" w:rsidR="00931432" w:rsidRDefault="00CE7740">
      <w:pPr>
        <w:pStyle w:val="TOC1"/>
        <w:tabs>
          <w:tab w:val="left" w:pos="440"/>
          <w:tab w:val="right" w:leader="dot" w:pos="9060"/>
        </w:tabs>
        <w:rPr>
          <w:rFonts w:eastAsiaTheme="minorEastAsia" w:cstheme="minorBidi"/>
          <w:b w:val="0"/>
          <w:bCs w:val="0"/>
          <w:caps w:val="0"/>
          <w:noProof/>
          <w:sz w:val="22"/>
          <w:szCs w:val="22"/>
          <w:lang w:eastAsia="en-GB" w:bidi="ar-SA"/>
        </w:rPr>
      </w:pPr>
      <w:hyperlink w:anchor="_Toc85467264" w:history="1">
        <w:r w:rsidR="00931432" w:rsidRPr="002F5826">
          <w:rPr>
            <w:rStyle w:val="Hyperlink"/>
            <w:noProof/>
            <w:lang w:val="en-AU"/>
          </w:rPr>
          <w:t>2</w:t>
        </w:r>
        <w:r w:rsidR="00931432">
          <w:rPr>
            <w:rFonts w:eastAsiaTheme="minorEastAsia" w:cstheme="minorBidi"/>
            <w:b w:val="0"/>
            <w:bCs w:val="0"/>
            <w:caps w:val="0"/>
            <w:noProof/>
            <w:sz w:val="22"/>
            <w:szCs w:val="22"/>
            <w:lang w:eastAsia="en-GB" w:bidi="ar-SA"/>
          </w:rPr>
          <w:tab/>
        </w:r>
        <w:r w:rsidR="00931432" w:rsidRPr="002F5826">
          <w:rPr>
            <w:rStyle w:val="Hyperlink"/>
            <w:noProof/>
            <w:lang w:val="en-AU"/>
          </w:rPr>
          <w:t>Food technology assessment</w:t>
        </w:r>
        <w:r w:rsidR="00931432">
          <w:rPr>
            <w:noProof/>
            <w:webHidden/>
          </w:rPr>
          <w:tab/>
        </w:r>
        <w:r w:rsidR="00931432">
          <w:rPr>
            <w:noProof/>
            <w:webHidden/>
          </w:rPr>
          <w:fldChar w:fldCharType="begin"/>
        </w:r>
        <w:r w:rsidR="00931432">
          <w:rPr>
            <w:noProof/>
            <w:webHidden/>
          </w:rPr>
          <w:instrText xml:space="preserve"> PAGEREF _Toc85467264 \h </w:instrText>
        </w:r>
        <w:r w:rsidR="00931432">
          <w:rPr>
            <w:noProof/>
            <w:webHidden/>
          </w:rPr>
        </w:r>
        <w:r w:rsidR="00931432">
          <w:rPr>
            <w:noProof/>
            <w:webHidden/>
          </w:rPr>
          <w:fldChar w:fldCharType="separate"/>
        </w:r>
        <w:r w:rsidR="00931432">
          <w:rPr>
            <w:noProof/>
            <w:webHidden/>
          </w:rPr>
          <w:t>2</w:t>
        </w:r>
        <w:r w:rsidR="00931432">
          <w:rPr>
            <w:noProof/>
            <w:webHidden/>
          </w:rPr>
          <w:fldChar w:fldCharType="end"/>
        </w:r>
      </w:hyperlink>
    </w:p>
    <w:p w14:paraId="030AAEC0" w14:textId="3237104F" w:rsidR="00931432" w:rsidRDefault="00CE7740">
      <w:pPr>
        <w:pStyle w:val="TOC2"/>
        <w:tabs>
          <w:tab w:val="left" w:pos="880"/>
          <w:tab w:val="right" w:leader="dot" w:pos="9060"/>
        </w:tabs>
        <w:rPr>
          <w:rFonts w:eastAsiaTheme="minorEastAsia" w:cstheme="minorBidi"/>
          <w:smallCaps w:val="0"/>
          <w:noProof/>
          <w:sz w:val="22"/>
          <w:szCs w:val="22"/>
          <w:lang w:eastAsia="en-GB" w:bidi="ar-SA"/>
        </w:rPr>
      </w:pPr>
      <w:hyperlink w:anchor="_Toc85467265" w:history="1">
        <w:r w:rsidR="00931432" w:rsidRPr="002F5826">
          <w:rPr>
            <w:rStyle w:val="Hyperlink"/>
            <w:noProof/>
          </w:rPr>
          <w:t>2.1</w:t>
        </w:r>
        <w:r w:rsidR="00931432">
          <w:rPr>
            <w:rFonts w:eastAsiaTheme="minorEastAsia" w:cstheme="minorBidi"/>
            <w:smallCaps w:val="0"/>
            <w:noProof/>
            <w:sz w:val="22"/>
            <w:szCs w:val="22"/>
            <w:lang w:eastAsia="en-GB" w:bidi="ar-SA"/>
          </w:rPr>
          <w:tab/>
        </w:r>
        <w:r w:rsidR="00931432" w:rsidRPr="002F5826">
          <w:rPr>
            <w:rStyle w:val="Hyperlink"/>
            <w:noProof/>
          </w:rPr>
          <w:t>Characterisation of the enzyme</w:t>
        </w:r>
        <w:r w:rsidR="00931432">
          <w:rPr>
            <w:noProof/>
            <w:webHidden/>
          </w:rPr>
          <w:tab/>
        </w:r>
        <w:r w:rsidR="00931432">
          <w:rPr>
            <w:noProof/>
            <w:webHidden/>
          </w:rPr>
          <w:fldChar w:fldCharType="begin"/>
        </w:r>
        <w:r w:rsidR="00931432">
          <w:rPr>
            <w:noProof/>
            <w:webHidden/>
          </w:rPr>
          <w:instrText xml:space="preserve"> PAGEREF _Toc85467265 \h </w:instrText>
        </w:r>
        <w:r w:rsidR="00931432">
          <w:rPr>
            <w:noProof/>
            <w:webHidden/>
          </w:rPr>
        </w:r>
        <w:r w:rsidR="00931432">
          <w:rPr>
            <w:noProof/>
            <w:webHidden/>
          </w:rPr>
          <w:fldChar w:fldCharType="separate"/>
        </w:r>
        <w:r w:rsidR="00931432">
          <w:rPr>
            <w:noProof/>
            <w:webHidden/>
          </w:rPr>
          <w:t>2</w:t>
        </w:r>
        <w:r w:rsidR="00931432">
          <w:rPr>
            <w:noProof/>
            <w:webHidden/>
          </w:rPr>
          <w:fldChar w:fldCharType="end"/>
        </w:r>
      </w:hyperlink>
    </w:p>
    <w:p w14:paraId="4BDEB61E" w14:textId="1DE9867A" w:rsidR="00931432" w:rsidRDefault="00CE7740">
      <w:pPr>
        <w:pStyle w:val="TOC3"/>
        <w:tabs>
          <w:tab w:val="left" w:pos="1100"/>
          <w:tab w:val="right" w:leader="dot" w:pos="9060"/>
        </w:tabs>
        <w:rPr>
          <w:rFonts w:eastAsiaTheme="minorEastAsia" w:cstheme="minorBidi"/>
          <w:i w:val="0"/>
          <w:iCs w:val="0"/>
          <w:noProof/>
          <w:sz w:val="22"/>
          <w:szCs w:val="22"/>
          <w:lang w:eastAsia="en-GB" w:bidi="ar-SA"/>
        </w:rPr>
      </w:pPr>
      <w:hyperlink w:anchor="_Toc85467266" w:history="1">
        <w:r w:rsidR="00931432" w:rsidRPr="002F5826">
          <w:rPr>
            <w:rStyle w:val="Hyperlink"/>
            <w:noProof/>
          </w:rPr>
          <w:t>2.1.1</w:t>
        </w:r>
        <w:r w:rsidR="00931432">
          <w:rPr>
            <w:rFonts w:eastAsiaTheme="minorEastAsia" w:cstheme="minorBidi"/>
            <w:i w:val="0"/>
            <w:iCs w:val="0"/>
            <w:noProof/>
            <w:sz w:val="22"/>
            <w:szCs w:val="22"/>
            <w:lang w:eastAsia="en-GB" w:bidi="ar-SA"/>
          </w:rPr>
          <w:tab/>
        </w:r>
        <w:r w:rsidR="00931432" w:rsidRPr="002F5826">
          <w:rPr>
            <w:rStyle w:val="Hyperlink"/>
            <w:noProof/>
          </w:rPr>
          <w:t>Identity and properties of the enzyme</w:t>
        </w:r>
        <w:r w:rsidR="00931432">
          <w:rPr>
            <w:noProof/>
            <w:webHidden/>
          </w:rPr>
          <w:tab/>
        </w:r>
        <w:r w:rsidR="00931432">
          <w:rPr>
            <w:noProof/>
            <w:webHidden/>
          </w:rPr>
          <w:fldChar w:fldCharType="begin"/>
        </w:r>
        <w:r w:rsidR="00931432">
          <w:rPr>
            <w:noProof/>
            <w:webHidden/>
          </w:rPr>
          <w:instrText xml:space="preserve"> PAGEREF _Toc85467266 \h </w:instrText>
        </w:r>
        <w:r w:rsidR="00931432">
          <w:rPr>
            <w:noProof/>
            <w:webHidden/>
          </w:rPr>
        </w:r>
        <w:r w:rsidR="00931432">
          <w:rPr>
            <w:noProof/>
            <w:webHidden/>
          </w:rPr>
          <w:fldChar w:fldCharType="separate"/>
        </w:r>
        <w:r w:rsidR="00931432">
          <w:rPr>
            <w:noProof/>
            <w:webHidden/>
          </w:rPr>
          <w:t>2</w:t>
        </w:r>
        <w:r w:rsidR="00931432">
          <w:rPr>
            <w:noProof/>
            <w:webHidden/>
          </w:rPr>
          <w:fldChar w:fldCharType="end"/>
        </w:r>
      </w:hyperlink>
    </w:p>
    <w:p w14:paraId="39FD89D9" w14:textId="6D94E1AA" w:rsidR="00931432" w:rsidRDefault="00CE7740">
      <w:pPr>
        <w:pStyle w:val="TOC2"/>
        <w:tabs>
          <w:tab w:val="left" w:pos="880"/>
          <w:tab w:val="right" w:leader="dot" w:pos="9060"/>
        </w:tabs>
        <w:rPr>
          <w:rFonts w:eastAsiaTheme="minorEastAsia" w:cstheme="minorBidi"/>
          <w:smallCaps w:val="0"/>
          <w:noProof/>
          <w:sz w:val="22"/>
          <w:szCs w:val="22"/>
          <w:lang w:eastAsia="en-GB" w:bidi="ar-SA"/>
        </w:rPr>
      </w:pPr>
      <w:hyperlink w:anchor="_Toc85467267" w:history="1">
        <w:r w:rsidR="00931432" w:rsidRPr="002F5826">
          <w:rPr>
            <w:rStyle w:val="Hyperlink"/>
            <w:noProof/>
          </w:rPr>
          <w:t>2.2</w:t>
        </w:r>
        <w:r w:rsidR="00931432">
          <w:rPr>
            <w:rFonts w:eastAsiaTheme="minorEastAsia" w:cstheme="minorBidi"/>
            <w:smallCaps w:val="0"/>
            <w:noProof/>
            <w:sz w:val="22"/>
            <w:szCs w:val="22"/>
            <w:lang w:eastAsia="en-GB" w:bidi="ar-SA"/>
          </w:rPr>
          <w:tab/>
        </w:r>
        <w:r w:rsidR="00931432" w:rsidRPr="002F5826">
          <w:rPr>
            <w:rStyle w:val="Hyperlink"/>
            <w:noProof/>
          </w:rPr>
          <w:t>Manufacturing process</w:t>
        </w:r>
        <w:r w:rsidR="00931432">
          <w:rPr>
            <w:noProof/>
            <w:webHidden/>
          </w:rPr>
          <w:tab/>
        </w:r>
        <w:r w:rsidR="00931432">
          <w:rPr>
            <w:noProof/>
            <w:webHidden/>
          </w:rPr>
          <w:fldChar w:fldCharType="begin"/>
        </w:r>
        <w:r w:rsidR="00931432">
          <w:rPr>
            <w:noProof/>
            <w:webHidden/>
          </w:rPr>
          <w:instrText xml:space="preserve"> PAGEREF _Toc85467267 \h </w:instrText>
        </w:r>
        <w:r w:rsidR="00931432">
          <w:rPr>
            <w:noProof/>
            <w:webHidden/>
          </w:rPr>
        </w:r>
        <w:r w:rsidR="00931432">
          <w:rPr>
            <w:noProof/>
            <w:webHidden/>
          </w:rPr>
          <w:fldChar w:fldCharType="separate"/>
        </w:r>
        <w:r w:rsidR="00931432">
          <w:rPr>
            <w:noProof/>
            <w:webHidden/>
          </w:rPr>
          <w:t>3</w:t>
        </w:r>
        <w:r w:rsidR="00931432">
          <w:rPr>
            <w:noProof/>
            <w:webHidden/>
          </w:rPr>
          <w:fldChar w:fldCharType="end"/>
        </w:r>
      </w:hyperlink>
    </w:p>
    <w:p w14:paraId="4E9E185B" w14:textId="019927BE" w:rsidR="00931432" w:rsidRDefault="00CE7740">
      <w:pPr>
        <w:pStyle w:val="TOC3"/>
        <w:tabs>
          <w:tab w:val="left" w:pos="1100"/>
          <w:tab w:val="right" w:leader="dot" w:pos="9060"/>
        </w:tabs>
        <w:rPr>
          <w:rFonts w:eastAsiaTheme="minorEastAsia" w:cstheme="minorBidi"/>
          <w:i w:val="0"/>
          <w:iCs w:val="0"/>
          <w:noProof/>
          <w:sz w:val="22"/>
          <w:szCs w:val="22"/>
          <w:lang w:eastAsia="en-GB" w:bidi="ar-SA"/>
        </w:rPr>
      </w:pPr>
      <w:hyperlink w:anchor="_Toc85467268" w:history="1">
        <w:r w:rsidR="00931432" w:rsidRPr="002F5826">
          <w:rPr>
            <w:rStyle w:val="Hyperlink"/>
            <w:noProof/>
          </w:rPr>
          <w:t>2.2.1</w:t>
        </w:r>
        <w:r w:rsidR="00931432">
          <w:rPr>
            <w:rFonts w:eastAsiaTheme="minorEastAsia" w:cstheme="minorBidi"/>
            <w:i w:val="0"/>
            <w:iCs w:val="0"/>
            <w:noProof/>
            <w:sz w:val="22"/>
            <w:szCs w:val="22"/>
            <w:lang w:eastAsia="en-GB" w:bidi="ar-SA"/>
          </w:rPr>
          <w:tab/>
        </w:r>
        <w:r w:rsidR="00931432" w:rsidRPr="002F5826">
          <w:rPr>
            <w:rStyle w:val="Hyperlink"/>
            <w:noProof/>
          </w:rPr>
          <w:t>Production of the enzyme</w:t>
        </w:r>
        <w:r w:rsidR="00931432">
          <w:rPr>
            <w:noProof/>
            <w:webHidden/>
          </w:rPr>
          <w:tab/>
        </w:r>
        <w:r w:rsidR="00931432">
          <w:rPr>
            <w:noProof/>
            <w:webHidden/>
          </w:rPr>
          <w:fldChar w:fldCharType="begin"/>
        </w:r>
        <w:r w:rsidR="00931432">
          <w:rPr>
            <w:noProof/>
            <w:webHidden/>
          </w:rPr>
          <w:instrText xml:space="preserve"> PAGEREF _Toc85467268 \h </w:instrText>
        </w:r>
        <w:r w:rsidR="00931432">
          <w:rPr>
            <w:noProof/>
            <w:webHidden/>
          </w:rPr>
        </w:r>
        <w:r w:rsidR="00931432">
          <w:rPr>
            <w:noProof/>
            <w:webHidden/>
          </w:rPr>
          <w:fldChar w:fldCharType="separate"/>
        </w:r>
        <w:r w:rsidR="00931432">
          <w:rPr>
            <w:noProof/>
            <w:webHidden/>
          </w:rPr>
          <w:t>3</w:t>
        </w:r>
        <w:r w:rsidR="00931432">
          <w:rPr>
            <w:noProof/>
            <w:webHidden/>
          </w:rPr>
          <w:fldChar w:fldCharType="end"/>
        </w:r>
      </w:hyperlink>
    </w:p>
    <w:p w14:paraId="221942B0" w14:textId="7F4356B7" w:rsidR="00931432" w:rsidRDefault="00CE7740">
      <w:pPr>
        <w:pStyle w:val="TOC3"/>
        <w:tabs>
          <w:tab w:val="left" w:pos="1100"/>
          <w:tab w:val="right" w:leader="dot" w:pos="9060"/>
        </w:tabs>
        <w:rPr>
          <w:rFonts w:eastAsiaTheme="minorEastAsia" w:cstheme="minorBidi"/>
          <w:i w:val="0"/>
          <w:iCs w:val="0"/>
          <w:noProof/>
          <w:sz w:val="22"/>
          <w:szCs w:val="22"/>
          <w:lang w:eastAsia="en-GB" w:bidi="ar-SA"/>
        </w:rPr>
      </w:pPr>
      <w:hyperlink w:anchor="_Toc85467269" w:history="1">
        <w:r w:rsidR="00931432" w:rsidRPr="002F5826">
          <w:rPr>
            <w:rStyle w:val="Hyperlink"/>
            <w:noProof/>
          </w:rPr>
          <w:t>2.2.2</w:t>
        </w:r>
        <w:r w:rsidR="00931432">
          <w:rPr>
            <w:rFonts w:eastAsiaTheme="minorEastAsia" w:cstheme="minorBidi"/>
            <w:i w:val="0"/>
            <w:iCs w:val="0"/>
            <w:noProof/>
            <w:sz w:val="22"/>
            <w:szCs w:val="22"/>
            <w:lang w:eastAsia="en-GB" w:bidi="ar-SA"/>
          </w:rPr>
          <w:tab/>
        </w:r>
        <w:r w:rsidR="00931432" w:rsidRPr="002F5826">
          <w:rPr>
            <w:rStyle w:val="Hyperlink"/>
            <w:noProof/>
          </w:rPr>
          <w:t>Specifications</w:t>
        </w:r>
        <w:r w:rsidR="00931432">
          <w:rPr>
            <w:noProof/>
            <w:webHidden/>
          </w:rPr>
          <w:tab/>
        </w:r>
        <w:r w:rsidR="00931432">
          <w:rPr>
            <w:noProof/>
            <w:webHidden/>
          </w:rPr>
          <w:fldChar w:fldCharType="begin"/>
        </w:r>
        <w:r w:rsidR="00931432">
          <w:rPr>
            <w:noProof/>
            <w:webHidden/>
          </w:rPr>
          <w:instrText xml:space="preserve"> PAGEREF _Toc85467269 \h </w:instrText>
        </w:r>
        <w:r w:rsidR="00931432">
          <w:rPr>
            <w:noProof/>
            <w:webHidden/>
          </w:rPr>
        </w:r>
        <w:r w:rsidR="00931432">
          <w:rPr>
            <w:noProof/>
            <w:webHidden/>
          </w:rPr>
          <w:fldChar w:fldCharType="separate"/>
        </w:r>
        <w:r w:rsidR="00931432">
          <w:rPr>
            <w:noProof/>
            <w:webHidden/>
          </w:rPr>
          <w:t>3</w:t>
        </w:r>
        <w:r w:rsidR="00931432">
          <w:rPr>
            <w:noProof/>
            <w:webHidden/>
          </w:rPr>
          <w:fldChar w:fldCharType="end"/>
        </w:r>
      </w:hyperlink>
    </w:p>
    <w:p w14:paraId="3E20156E" w14:textId="4637C1F1" w:rsidR="00931432" w:rsidRDefault="00CE7740">
      <w:pPr>
        <w:pStyle w:val="TOC2"/>
        <w:tabs>
          <w:tab w:val="left" w:pos="880"/>
          <w:tab w:val="right" w:leader="dot" w:pos="9060"/>
        </w:tabs>
        <w:rPr>
          <w:rFonts w:eastAsiaTheme="minorEastAsia" w:cstheme="minorBidi"/>
          <w:smallCaps w:val="0"/>
          <w:noProof/>
          <w:sz w:val="22"/>
          <w:szCs w:val="22"/>
          <w:lang w:eastAsia="en-GB" w:bidi="ar-SA"/>
        </w:rPr>
      </w:pPr>
      <w:hyperlink w:anchor="_Toc85467270" w:history="1">
        <w:r w:rsidR="00931432" w:rsidRPr="002F5826">
          <w:rPr>
            <w:rStyle w:val="Hyperlink"/>
            <w:noProof/>
          </w:rPr>
          <w:t>2.3</w:t>
        </w:r>
        <w:r w:rsidR="00931432">
          <w:rPr>
            <w:rFonts w:eastAsiaTheme="minorEastAsia" w:cstheme="minorBidi"/>
            <w:smallCaps w:val="0"/>
            <w:noProof/>
            <w:sz w:val="22"/>
            <w:szCs w:val="22"/>
            <w:lang w:eastAsia="en-GB" w:bidi="ar-SA"/>
          </w:rPr>
          <w:tab/>
        </w:r>
        <w:r w:rsidR="00931432" w:rsidRPr="002F5826">
          <w:rPr>
            <w:rStyle w:val="Hyperlink"/>
            <w:noProof/>
          </w:rPr>
          <w:t>Food technology conclusion</w:t>
        </w:r>
        <w:r w:rsidR="00931432">
          <w:rPr>
            <w:noProof/>
            <w:webHidden/>
          </w:rPr>
          <w:tab/>
        </w:r>
        <w:r w:rsidR="00931432">
          <w:rPr>
            <w:noProof/>
            <w:webHidden/>
          </w:rPr>
          <w:fldChar w:fldCharType="begin"/>
        </w:r>
        <w:r w:rsidR="00931432">
          <w:rPr>
            <w:noProof/>
            <w:webHidden/>
          </w:rPr>
          <w:instrText xml:space="preserve"> PAGEREF _Toc85467270 \h </w:instrText>
        </w:r>
        <w:r w:rsidR="00931432">
          <w:rPr>
            <w:noProof/>
            <w:webHidden/>
          </w:rPr>
        </w:r>
        <w:r w:rsidR="00931432">
          <w:rPr>
            <w:noProof/>
            <w:webHidden/>
          </w:rPr>
          <w:fldChar w:fldCharType="separate"/>
        </w:r>
        <w:r w:rsidR="00931432">
          <w:rPr>
            <w:noProof/>
            <w:webHidden/>
          </w:rPr>
          <w:t>4</w:t>
        </w:r>
        <w:r w:rsidR="00931432">
          <w:rPr>
            <w:noProof/>
            <w:webHidden/>
          </w:rPr>
          <w:fldChar w:fldCharType="end"/>
        </w:r>
      </w:hyperlink>
    </w:p>
    <w:p w14:paraId="6FE2FF57" w14:textId="093244C2" w:rsidR="00931432" w:rsidRDefault="00CE7740">
      <w:pPr>
        <w:pStyle w:val="TOC1"/>
        <w:tabs>
          <w:tab w:val="left" w:pos="440"/>
          <w:tab w:val="right" w:leader="dot" w:pos="9060"/>
        </w:tabs>
        <w:rPr>
          <w:rFonts w:eastAsiaTheme="minorEastAsia" w:cstheme="minorBidi"/>
          <w:b w:val="0"/>
          <w:bCs w:val="0"/>
          <w:caps w:val="0"/>
          <w:noProof/>
          <w:sz w:val="22"/>
          <w:szCs w:val="22"/>
          <w:lang w:eastAsia="en-GB" w:bidi="ar-SA"/>
        </w:rPr>
      </w:pPr>
      <w:hyperlink w:anchor="_Toc85467271" w:history="1">
        <w:r w:rsidR="00931432" w:rsidRPr="002F5826">
          <w:rPr>
            <w:rStyle w:val="Hyperlink"/>
            <w:noProof/>
            <w:lang w:val="en-AU"/>
          </w:rPr>
          <w:t>3</w:t>
        </w:r>
        <w:r w:rsidR="00931432">
          <w:rPr>
            <w:rFonts w:eastAsiaTheme="minorEastAsia" w:cstheme="minorBidi"/>
            <w:b w:val="0"/>
            <w:bCs w:val="0"/>
            <w:caps w:val="0"/>
            <w:noProof/>
            <w:sz w:val="22"/>
            <w:szCs w:val="22"/>
            <w:lang w:eastAsia="en-GB" w:bidi="ar-SA"/>
          </w:rPr>
          <w:tab/>
        </w:r>
        <w:r w:rsidR="00931432" w:rsidRPr="002F5826">
          <w:rPr>
            <w:rStyle w:val="Hyperlink"/>
            <w:noProof/>
            <w:lang w:val="en-AU"/>
          </w:rPr>
          <w:t>Safety assessment</w:t>
        </w:r>
        <w:r w:rsidR="00931432">
          <w:rPr>
            <w:noProof/>
            <w:webHidden/>
          </w:rPr>
          <w:tab/>
        </w:r>
        <w:r w:rsidR="00931432">
          <w:rPr>
            <w:noProof/>
            <w:webHidden/>
          </w:rPr>
          <w:fldChar w:fldCharType="begin"/>
        </w:r>
        <w:r w:rsidR="00931432">
          <w:rPr>
            <w:noProof/>
            <w:webHidden/>
          </w:rPr>
          <w:instrText xml:space="preserve"> PAGEREF _Toc85467271 \h </w:instrText>
        </w:r>
        <w:r w:rsidR="00931432">
          <w:rPr>
            <w:noProof/>
            <w:webHidden/>
          </w:rPr>
        </w:r>
        <w:r w:rsidR="00931432">
          <w:rPr>
            <w:noProof/>
            <w:webHidden/>
          </w:rPr>
          <w:fldChar w:fldCharType="separate"/>
        </w:r>
        <w:r w:rsidR="00931432">
          <w:rPr>
            <w:noProof/>
            <w:webHidden/>
          </w:rPr>
          <w:t>4</w:t>
        </w:r>
        <w:r w:rsidR="00931432">
          <w:rPr>
            <w:noProof/>
            <w:webHidden/>
          </w:rPr>
          <w:fldChar w:fldCharType="end"/>
        </w:r>
      </w:hyperlink>
    </w:p>
    <w:p w14:paraId="726A9966" w14:textId="3AC65427" w:rsidR="00931432" w:rsidRDefault="00CE7740">
      <w:pPr>
        <w:pStyle w:val="TOC2"/>
        <w:tabs>
          <w:tab w:val="left" w:pos="880"/>
          <w:tab w:val="right" w:leader="dot" w:pos="9060"/>
        </w:tabs>
        <w:rPr>
          <w:rFonts w:eastAsiaTheme="minorEastAsia" w:cstheme="minorBidi"/>
          <w:smallCaps w:val="0"/>
          <w:noProof/>
          <w:sz w:val="22"/>
          <w:szCs w:val="22"/>
          <w:lang w:eastAsia="en-GB" w:bidi="ar-SA"/>
        </w:rPr>
      </w:pPr>
      <w:hyperlink w:anchor="_Toc85467272" w:history="1">
        <w:r w:rsidR="00931432" w:rsidRPr="002F5826">
          <w:rPr>
            <w:rStyle w:val="Hyperlink"/>
            <w:noProof/>
            <w:lang w:val="en-AU"/>
          </w:rPr>
          <w:t>3.1</w:t>
        </w:r>
        <w:r w:rsidR="00931432">
          <w:rPr>
            <w:rFonts w:eastAsiaTheme="minorEastAsia" w:cstheme="minorBidi"/>
            <w:smallCaps w:val="0"/>
            <w:noProof/>
            <w:sz w:val="22"/>
            <w:szCs w:val="22"/>
            <w:lang w:eastAsia="en-GB" w:bidi="ar-SA"/>
          </w:rPr>
          <w:tab/>
        </w:r>
        <w:r w:rsidR="00931432" w:rsidRPr="002F5826">
          <w:rPr>
            <w:rStyle w:val="Hyperlink"/>
            <w:noProof/>
            <w:lang w:val="en-AU"/>
          </w:rPr>
          <w:t>Objectives for safety assessment</w:t>
        </w:r>
        <w:r w:rsidR="00931432">
          <w:rPr>
            <w:noProof/>
            <w:webHidden/>
          </w:rPr>
          <w:tab/>
        </w:r>
        <w:r w:rsidR="00931432">
          <w:rPr>
            <w:noProof/>
            <w:webHidden/>
          </w:rPr>
          <w:fldChar w:fldCharType="begin"/>
        </w:r>
        <w:r w:rsidR="00931432">
          <w:rPr>
            <w:noProof/>
            <w:webHidden/>
          </w:rPr>
          <w:instrText xml:space="preserve"> PAGEREF _Toc85467272 \h </w:instrText>
        </w:r>
        <w:r w:rsidR="00931432">
          <w:rPr>
            <w:noProof/>
            <w:webHidden/>
          </w:rPr>
        </w:r>
        <w:r w:rsidR="00931432">
          <w:rPr>
            <w:noProof/>
            <w:webHidden/>
          </w:rPr>
          <w:fldChar w:fldCharType="separate"/>
        </w:r>
        <w:r w:rsidR="00931432">
          <w:rPr>
            <w:noProof/>
            <w:webHidden/>
          </w:rPr>
          <w:t>4</w:t>
        </w:r>
        <w:r w:rsidR="00931432">
          <w:rPr>
            <w:noProof/>
            <w:webHidden/>
          </w:rPr>
          <w:fldChar w:fldCharType="end"/>
        </w:r>
      </w:hyperlink>
    </w:p>
    <w:p w14:paraId="7E8BD45D" w14:textId="74AC6025" w:rsidR="00931432" w:rsidRDefault="00CE7740">
      <w:pPr>
        <w:pStyle w:val="TOC2"/>
        <w:tabs>
          <w:tab w:val="left" w:pos="880"/>
          <w:tab w:val="right" w:leader="dot" w:pos="9060"/>
        </w:tabs>
        <w:rPr>
          <w:rFonts w:eastAsiaTheme="minorEastAsia" w:cstheme="minorBidi"/>
          <w:smallCaps w:val="0"/>
          <w:noProof/>
          <w:sz w:val="22"/>
          <w:szCs w:val="22"/>
          <w:lang w:eastAsia="en-GB" w:bidi="ar-SA"/>
        </w:rPr>
      </w:pPr>
      <w:hyperlink w:anchor="_Toc85467273" w:history="1">
        <w:r w:rsidR="00931432" w:rsidRPr="002F5826">
          <w:rPr>
            <w:rStyle w:val="Hyperlink"/>
            <w:noProof/>
            <w:lang w:val="en-AU"/>
          </w:rPr>
          <w:t>3.2</w:t>
        </w:r>
        <w:r w:rsidR="00931432">
          <w:rPr>
            <w:rFonts w:eastAsiaTheme="minorEastAsia" w:cstheme="minorBidi"/>
            <w:smallCaps w:val="0"/>
            <w:noProof/>
            <w:sz w:val="22"/>
            <w:szCs w:val="22"/>
            <w:lang w:eastAsia="en-GB" w:bidi="ar-SA"/>
          </w:rPr>
          <w:tab/>
        </w:r>
        <w:r w:rsidR="00931432" w:rsidRPr="002F5826">
          <w:rPr>
            <w:rStyle w:val="Hyperlink"/>
            <w:noProof/>
            <w:lang w:val="en-AU"/>
          </w:rPr>
          <w:t>History of use and identification of the microorganism</w:t>
        </w:r>
        <w:r w:rsidR="00931432">
          <w:rPr>
            <w:noProof/>
            <w:webHidden/>
          </w:rPr>
          <w:tab/>
        </w:r>
        <w:r w:rsidR="00931432">
          <w:rPr>
            <w:noProof/>
            <w:webHidden/>
          </w:rPr>
          <w:fldChar w:fldCharType="begin"/>
        </w:r>
        <w:r w:rsidR="00931432">
          <w:rPr>
            <w:noProof/>
            <w:webHidden/>
          </w:rPr>
          <w:instrText xml:space="preserve"> PAGEREF _Toc85467273 \h </w:instrText>
        </w:r>
        <w:r w:rsidR="00931432">
          <w:rPr>
            <w:noProof/>
            <w:webHidden/>
          </w:rPr>
        </w:r>
        <w:r w:rsidR="00931432">
          <w:rPr>
            <w:noProof/>
            <w:webHidden/>
          </w:rPr>
          <w:fldChar w:fldCharType="separate"/>
        </w:r>
        <w:r w:rsidR="00931432">
          <w:rPr>
            <w:noProof/>
            <w:webHidden/>
          </w:rPr>
          <w:t>4</w:t>
        </w:r>
        <w:r w:rsidR="00931432">
          <w:rPr>
            <w:noProof/>
            <w:webHidden/>
          </w:rPr>
          <w:fldChar w:fldCharType="end"/>
        </w:r>
      </w:hyperlink>
    </w:p>
    <w:p w14:paraId="555EECCB" w14:textId="3053C3C3" w:rsidR="00931432" w:rsidRDefault="00CE7740">
      <w:pPr>
        <w:pStyle w:val="TOC2"/>
        <w:tabs>
          <w:tab w:val="left" w:pos="880"/>
          <w:tab w:val="right" w:leader="dot" w:pos="9060"/>
        </w:tabs>
        <w:rPr>
          <w:rFonts w:eastAsiaTheme="minorEastAsia" w:cstheme="minorBidi"/>
          <w:smallCaps w:val="0"/>
          <w:noProof/>
          <w:sz w:val="22"/>
          <w:szCs w:val="22"/>
          <w:lang w:eastAsia="en-GB" w:bidi="ar-SA"/>
        </w:rPr>
      </w:pPr>
      <w:hyperlink w:anchor="_Toc85467274" w:history="1">
        <w:r w:rsidR="00931432" w:rsidRPr="002F5826">
          <w:rPr>
            <w:rStyle w:val="Hyperlink"/>
            <w:noProof/>
            <w:lang w:val="en-AU"/>
          </w:rPr>
          <w:t>3.3</w:t>
        </w:r>
        <w:r w:rsidR="00931432">
          <w:rPr>
            <w:rFonts w:eastAsiaTheme="minorEastAsia" w:cstheme="minorBidi"/>
            <w:smallCaps w:val="0"/>
            <w:noProof/>
            <w:sz w:val="22"/>
            <w:szCs w:val="22"/>
            <w:lang w:eastAsia="en-GB" w:bidi="ar-SA"/>
          </w:rPr>
          <w:tab/>
        </w:r>
        <w:r w:rsidR="00931432" w:rsidRPr="002F5826">
          <w:rPr>
            <w:rStyle w:val="Hyperlink"/>
            <w:noProof/>
            <w:lang w:val="en-AU"/>
          </w:rPr>
          <w:t xml:space="preserve">Safety of </w:t>
        </w:r>
        <w:r w:rsidR="00931432" w:rsidRPr="002F5826">
          <w:rPr>
            <w:rStyle w:val="Hyperlink"/>
            <w:rFonts w:eastAsia="Calibri"/>
            <w:noProof/>
            <w:lang w:val="en-AU"/>
          </w:rPr>
          <w:t>beta-fructofuranosidase</w:t>
        </w:r>
        <w:r w:rsidR="00931432">
          <w:rPr>
            <w:noProof/>
            <w:webHidden/>
          </w:rPr>
          <w:tab/>
        </w:r>
        <w:r w:rsidR="00931432">
          <w:rPr>
            <w:noProof/>
            <w:webHidden/>
          </w:rPr>
          <w:fldChar w:fldCharType="begin"/>
        </w:r>
        <w:r w:rsidR="00931432">
          <w:rPr>
            <w:noProof/>
            <w:webHidden/>
          </w:rPr>
          <w:instrText xml:space="preserve"> PAGEREF _Toc85467274 \h </w:instrText>
        </w:r>
        <w:r w:rsidR="00931432">
          <w:rPr>
            <w:noProof/>
            <w:webHidden/>
          </w:rPr>
        </w:r>
        <w:r w:rsidR="00931432">
          <w:rPr>
            <w:noProof/>
            <w:webHidden/>
          </w:rPr>
          <w:fldChar w:fldCharType="separate"/>
        </w:r>
        <w:r w:rsidR="00931432">
          <w:rPr>
            <w:noProof/>
            <w:webHidden/>
          </w:rPr>
          <w:t>6</w:t>
        </w:r>
        <w:r w:rsidR="00931432">
          <w:rPr>
            <w:noProof/>
            <w:webHidden/>
          </w:rPr>
          <w:fldChar w:fldCharType="end"/>
        </w:r>
      </w:hyperlink>
    </w:p>
    <w:p w14:paraId="35AF0F13" w14:textId="79C8D891" w:rsidR="00931432" w:rsidRDefault="00CE7740">
      <w:pPr>
        <w:pStyle w:val="TOC3"/>
        <w:tabs>
          <w:tab w:val="left" w:pos="1100"/>
          <w:tab w:val="right" w:leader="dot" w:pos="9060"/>
        </w:tabs>
        <w:rPr>
          <w:rFonts w:eastAsiaTheme="minorEastAsia" w:cstheme="minorBidi"/>
          <w:i w:val="0"/>
          <w:iCs w:val="0"/>
          <w:noProof/>
          <w:sz w:val="22"/>
          <w:szCs w:val="22"/>
          <w:lang w:eastAsia="en-GB" w:bidi="ar-SA"/>
        </w:rPr>
      </w:pPr>
      <w:hyperlink w:anchor="_Toc85467275" w:history="1">
        <w:r w:rsidR="00931432" w:rsidRPr="002F5826">
          <w:rPr>
            <w:rStyle w:val="Hyperlink"/>
            <w:noProof/>
            <w:lang w:val="en-AU"/>
          </w:rPr>
          <w:t>3.3.1</w:t>
        </w:r>
        <w:r w:rsidR="00931432">
          <w:rPr>
            <w:rFonts w:eastAsiaTheme="minorEastAsia" w:cstheme="minorBidi"/>
            <w:i w:val="0"/>
            <w:iCs w:val="0"/>
            <w:noProof/>
            <w:sz w:val="22"/>
            <w:szCs w:val="22"/>
            <w:lang w:eastAsia="en-GB" w:bidi="ar-SA"/>
          </w:rPr>
          <w:tab/>
        </w:r>
        <w:r w:rsidR="00931432" w:rsidRPr="002F5826">
          <w:rPr>
            <w:rStyle w:val="Hyperlink"/>
            <w:noProof/>
            <w:lang w:val="en-AU"/>
          </w:rPr>
          <w:t>History of safe use of the enzyme</w:t>
        </w:r>
        <w:r w:rsidR="00931432">
          <w:rPr>
            <w:noProof/>
            <w:webHidden/>
          </w:rPr>
          <w:tab/>
        </w:r>
        <w:r w:rsidR="00931432">
          <w:rPr>
            <w:noProof/>
            <w:webHidden/>
          </w:rPr>
          <w:fldChar w:fldCharType="begin"/>
        </w:r>
        <w:r w:rsidR="00931432">
          <w:rPr>
            <w:noProof/>
            <w:webHidden/>
          </w:rPr>
          <w:instrText xml:space="preserve"> PAGEREF _Toc85467275 \h </w:instrText>
        </w:r>
        <w:r w:rsidR="00931432">
          <w:rPr>
            <w:noProof/>
            <w:webHidden/>
          </w:rPr>
        </w:r>
        <w:r w:rsidR="00931432">
          <w:rPr>
            <w:noProof/>
            <w:webHidden/>
          </w:rPr>
          <w:fldChar w:fldCharType="separate"/>
        </w:r>
        <w:r w:rsidR="00931432">
          <w:rPr>
            <w:noProof/>
            <w:webHidden/>
          </w:rPr>
          <w:t>6</w:t>
        </w:r>
        <w:r w:rsidR="00931432">
          <w:rPr>
            <w:noProof/>
            <w:webHidden/>
          </w:rPr>
          <w:fldChar w:fldCharType="end"/>
        </w:r>
      </w:hyperlink>
    </w:p>
    <w:p w14:paraId="17E211E3" w14:textId="2B3BA2CD" w:rsidR="00931432" w:rsidRDefault="00CE7740">
      <w:pPr>
        <w:pStyle w:val="TOC3"/>
        <w:tabs>
          <w:tab w:val="left" w:pos="1100"/>
          <w:tab w:val="right" w:leader="dot" w:pos="9060"/>
        </w:tabs>
        <w:rPr>
          <w:rFonts w:eastAsiaTheme="minorEastAsia" w:cstheme="minorBidi"/>
          <w:i w:val="0"/>
          <w:iCs w:val="0"/>
          <w:noProof/>
          <w:sz w:val="22"/>
          <w:szCs w:val="22"/>
          <w:lang w:eastAsia="en-GB" w:bidi="ar-SA"/>
        </w:rPr>
      </w:pPr>
      <w:hyperlink w:anchor="_Toc85467276" w:history="1">
        <w:r w:rsidR="00931432" w:rsidRPr="002F5826">
          <w:rPr>
            <w:rStyle w:val="Hyperlink"/>
            <w:noProof/>
            <w:lang w:val="en-AU"/>
          </w:rPr>
          <w:t>3.3.2</w:t>
        </w:r>
        <w:r w:rsidR="00931432">
          <w:rPr>
            <w:rFonts w:eastAsiaTheme="minorEastAsia" w:cstheme="minorBidi"/>
            <w:i w:val="0"/>
            <w:iCs w:val="0"/>
            <w:noProof/>
            <w:sz w:val="22"/>
            <w:szCs w:val="22"/>
            <w:lang w:eastAsia="en-GB" w:bidi="ar-SA"/>
          </w:rPr>
          <w:tab/>
        </w:r>
        <w:r w:rsidR="00931432" w:rsidRPr="002F5826">
          <w:rPr>
            <w:rStyle w:val="Hyperlink"/>
            <w:noProof/>
            <w:lang w:val="en-AU"/>
          </w:rPr>
          <w:t>Toxicology studies in animals</w:t>
        </w:r>
        <w:r w:rsidR="00931432">
          <w:rPr>
            <w:noProof/>
            <w:webHidden/>
          </w:rPr>
          <w:tab/>
        </w:r>
        <w:r w:rsidR="00931432">
          <w:rPr>
            <w:noProof/>
            <w:webHidden/>
          </w:rPr>
          <w:fldChar w:fldCharType="begin"/>
        </w:r>
        <w:r w:rsidR="00931432">
          <w:rPr>
            <w:noProof/>
            <w:webHidden/>
          </w:rPr>
          <w:instrText xml:space="preserve"> PAGEREF _Toc85467276 \h </w:instrText>
        </w:r>
        <w:r w:rsidR="00931432">
          <w:rPr>
            <w:noProof/>
            <w:webHidden/>
          </w:rPr>
        </w:r>
        <w:r w:rsidR="00931432">
          <w:rPr>
            <w:noProof/>
            <w:webHidden/>
          </w:rPr>
          <w:fldChar w:fldCharType="separate"/>
        </w:r>
        <w:r w:rsidR="00931432">
          <w:rPr>
            <w:noProof/>
            <w:webHidden/>
          </w:rPr>
          <w:t>6</w:t>
        </w:r>
        <w:r w:rsidR="00931432">
          <w:rPr>
            <w:noProof/>
            <w:webHidden/>
          </w:rPr>
          <w:fldChar w:fldCharType="end"/>
        </w:r>
      </w:hyperlink>
    </w:p>
    <w:p w14:paraId="56D4FDF7" w14:textId="46B4B9DE" w:rsidR="00931432" w:rsidRDefault="00CE7740">
      <w:pPr>
        <w:pStyle w:val="TOC3"/>
        <w:tabs>
          <w:tab w:val="left" w:pos="1100"/>
          <w:tab w:val="right" w:leader="dot" w:pos="9060"/>
        </w:tabs>
        <w:rPr>
          <w:rFonts w:eastAsiaTheme="minorEastAsia" w:cstheme="minorBidi"/>
          <w:i w:val="0"/>
          <w:iCs w:val="0"/>
          <w:noProof/>
          <w:sz w:val="22"/>
          <w:szCs w:val="22"/>
          <w:lang w:eastAsia="en-GB" w:bidi="ar-SA"/>
        </w:rPr>
      </w:pPr>
      <w:hyperlink w:anchor="_Toc85467277" w:history="1">
        <w:r w:rsidR="00931432" w:rsidRPr="002F5826">
          <w:rPr>
            <w:rStyle w:val="Hyperlink"/>
            <w:noProof/>
            <w:lang w:val="en-AU"/>
          </w:rPr>
          <w:t>3.3.3</w:t>
        </w:r>
        <w:r w:rsidR="00931432">
          <w:rPr>
            <w:rFonts w:eastAsiaTheme="minorEastAsia" w:cstheme="minorBidi"/>
            <w:i w:val="0"/>
            <w:iCs w:val="0"/>
            <w:noProof/>
            <w:sz w:val="22"/>
            <w:szCs w:val="22"/>
            <w:lang w:eastAsia="en-GB" w:bidi="ar-SA"/>
          </w:rPr>
          <w:tab/>
        </w:r>
        <w:r w:rsidR="00931432" w:rsidRPr="002F5826">
          <w:rPr>
            <w:rStyle w:val="Hyperlink"/>
            <w:noProof/>
            <w:lang w:val="en-AU"/>
          </w:rPr>
          <w:t>Genotoxicity assays</w:t>
        </w:r>
        <w:r w:rsidR="00931432">
          <w:rPr>
            <w:noProof/>
            <w:webHidden/>
          </w:rPr>
          <w:tab/>
        </w:r>
        <w:r w:rsidR="00931432">
          <w:rPr>
            <w:noProof/>
            <w:webHidden/>
          </w:rPr>
          <w:fldChar w:fldCharType="begin"/>
        </w:r>
        <w:r w:rsidR="00931432">
          <w:rPr>
            <w:noProof/>
            <w:webHidden/>
          </w:rPr>
          <w:instrText xml:space="preserve"> PAGEREF _Toc85467277 \h </w:instrText>
        </w:r>
        <w:r w:rsidR="00931432">
          <w:rPr>
            <w:noProof/>
            <w:webHidden/>
          </w:rPr>
        </w:r>
        <w:r w:rsidR="00931432">
          <w:rPr>
            <w:noProof/>
            <w:webHidden/>
          </w:rPr>
          <w:fldChar w:fldCharType="separate"/>
        </w:r>
        <w:r w:rsidR="00931432">
          <w:rPr>
            <w:noProof/>
            <w:webHidden/>
          </w:rPr>
          <w:t>7</w:t>
        </w:r>
        <w:r w:rsidR="00931432">
          <w:rPr>
            <w:noProof/>
            <w:webHidden/>
          </w:rPr>
          <w:fldChar w:fldCharType="end"/>
        </w:r>
      </w:hyperlink>
    </w:p>
    <w:p w14:paraId="441FD807" w14:textId="48423170" w:rsidR="00931432" w:rsidRDefault="00CE7740">
      <w:pPr>
        <w:pStyle w:val="TOC3"/>
        <w:tabs>
          <w:tab w:val="left" w:pos="1100"/>
          <w:tab w:val="right" w:leader="dot" w:pos="9060"/>
        </w:tabs>
        <w:rPr>
          <w:rFonts w:eastAsiaTheme="minorEastAsia" w:cstheme="minorBidi"/>
          <w:i w:val="0"/>
          <w:iCs w:val="0"/>
          <w:noProof/>
          <w:sz w:val="22"/>
          <w:szCs w:val="22"/>
          <w:lang w:eastAsia="en-GB" w:bidi="ar-SA"/>
        </w:rPr>
      </w:pPr>
      <w:hyperlink w:anchor="_Toc85467278" w:history="1">
        <w:r w:rsidR="00931432" w:rsidRPr="002F5826">
          <w:rPr>
            <w:rStyle w:val="Hyperlink"/>
            <w:noProof/>
            <w:lang w:val="en-AU"/>
          </w:rPr>
          <w:t>3.3.4</w:t>
        </w:r>
        <w:r w:rsidR="00931432">
          <w:rPr>
            <w:rFonts w:eastAsiaTheme="minorEastAsia" w:cstheme="minorBidi"/>
            <w:i w:val="0"/>
            <w:iCs w:val="0"/>
            <w:noProof/>
            <w:sz w:val="22"/>
            <w:szCs w:val="22"/>
            <w:lang w:eastAsia="en-GB" w:bidi="ar-SA"/>
          </w:rPr>
          <w:tab/>
        </w:r>
        <w:r w:rsidR="00931432" w:rsidRPr="002F5826">
          <w:rPr>
            <w:rStyle w:val="Hyperlink"/>
            <w:noProof/>
            <w:lang w:val="en-AU"/>
          </w:rPr>
          <w:t>Potential for allergenicity</w:t>
        </w:r>
        <w:r w:rsidR="00931432">
          <w:rPr>
            <w:noProof/>
            <w:webHidden/>
          </w:rPr>
          <w:tab/>
        </w:r>
        <w:r w:rsidR="00931432">
          <w:rPr>
            <w:noProof/>
            <w:webHidden/>
          </w:rPr>
          <w:fldChar w:fldCharType="begin"/>
        </w:r>
        <w:r w:rsidR="00931432">
          <w:rPr>
            <w:noProof/>
            <w:webHidden/>
          </w:rPr>
          <w:instrText xml:space="preserve"> PAGEREF _Toc85467278 \h </w:instrText>
        </w:r>
        <w:r w:rsidR="00931432">
          <w:rPr>
            <w:noProof/>
            <w:webHidden/>
          </w:rPr>
        </w:r>
        <w:r w:rsidR="00931432">
          <w:rPr>
            <w:noProof/>
            <w:webHidden/>
          </w:rPr>
          <w:fldChar w:fldCharType="separate"/>
        </w:r>
        <w:r w:rsidR="00931432">
          <w:rPr>
            <w:noProof/>
            <w:webHidden/>
          </w:rPr>
          <w:t>8</w:t>
        </w:r>
        <w:r w:rsidR="00931432">
          <w:rPr>
            <w:noProof/>
            <w:webHidden/>
          </w:rPr>
          <w:fldChar w:fldCharType="end"/>
        </w:r>
      </w:hyperlink>
    </w:p>
    <w:p w14:paraId="14AF6295" w14:textId="063B6704" w:rsidR="00931432" w:rsidRDefault="00CE7740">
      <w:pPr>
        <w:pStyle w:val="TOC3"/>
        <w:tabs>
          <w:tab w:val="left" w:pos="1100"/>
          <w:tab w:val="right" w:leader="dot" w:pos="9060"/>
        </w:tabs>
        <w:rPr>
          <w:rFonts w:eastAsiaTheme="minorEastAsia" w:cstheme="minorBidi"/>
          <w:i w:val="0"/>
          <w:iCs w:val="0"/>
          <w:noProof/>
          <w:sz w:val="22"/>
          <w:szCs w:val="22"/>
          <w:lang w:eastAsia="en-GB" w:bidi="ar-SA"/>
        </w:rPr>
      </w:pPr>
      <w:hyperlink w:anchor="_Toc85467279" w:history="1">
        <w:r w:rsidR="00931432" w:rsidRPr="002F5826">
          <w:rPr>
            <w:rStyle w:val="Hyperlink"/>
            <w:noProof/>
            <w:lang w:val="en-AU"/>
          </w:rPr>
          <w:t>3.3.5</w:t>
        </w:r>
        <w:r w:rsidR="00931432">
          <w:rPr>
            <w:rFonts w:eastAsiaTheme="minorEastAsia" w:cstheme="minorBidi"/>
            <w:i w:val="0"/>
            <w:iCs w:val="0"/>
            <w:noProof/>
            <w:sz w:val="22"/>
            <w:szCs w:val="22"/>
            <w:lang w:eastAsia="en-GB" w:bidi="ar-SA"/>
          </w:rPr>
          <w:tab/>
        </w:r>
        <w:r w:rsidR="00931432" w:rsidRPr="002F5826">
          <w:rPr>
            <w:rStyle w:val="Hyperlink"/>
            <w:noProof/>
            <w:lang w:val="en-AU"/>
          </w:rPr>
          <w:t>Immobilisation agent</w:t>
        </w:r>
        <w:r w:rsidR="00931432">
          <w:rPr>
            <w:noProof/>
            <w:webHidden/>
          </w:rPr>
          <w:tab/>
        </w:r>
        <w:r w:rsidR="00931432">
          <w:rPr>
            <w:noProof/>
            <w:webHidden/>
          </w:rPr>
          <w:fldChar w:fldCharType="begin"/>
        </w:r>
        <w:r w:rsidR="00931432">
          <w:rPr>
            <w:noProof/>
            <w:webHidden/>
          </w:rPr>
          <w:instrText xml:space="preserve"> PAGEREF _Toc85467279 \h </w:instrText>
        </w:r>
        <w:r w:rsidR="00931432">
          <w:rPr>
            <w:noProof/>
            <w:webHidden/>
          </w:rPr>
        </w:r>
        <w:r w:rsidR="00931432">
          <w:rPr>
            <w:noProof/>
            <w:webHidden/>
          </w:rPr>
          <w:fldChar w:fldCharType="separate"/>
        </w:r>
        <w:r w:rsidR="00931432">
          <w:rPr>
            <w:noProof/>
            <w:webHidden/>
          </w:rPr>
          <w:t>8</w:t>
        </w:r>
        <w:r w:rsidR="00931432">
          <w:rPr>
            <w:noProof/>
            <w:webHidden/>
          </w:rPr>
          <w:fldChar w:fldCharType="end"/>
        </w:r>
      </w:hyperlink>
    </w:p>
    <w:p w14:paraId="2765A008" w14:textId="03B0B7F8" w:rsidR="00931432" w:rsidRDefault="00CE7740">
      <w:pPr>
        <w:pStyle w:val="TOC3"/>
        <w:tabs>
          <w:tab w:val="left" w:pos="1100"/>
          <w:tab w:val="right" w:leader="dot" w:pos="9060"/>
        </w:tabs>
        <w:rPr>
          <w:rFonts w:eastAsiaTheme="minorEastAsia" w:cstheme="minorBidi"/>
          <w:i w:val="0"/>
          <w:iCs w:val="0"/>
          <w:noProof/>
          <w:sz w:val="22"/>
          <w:szCs w:val="22"/>
          <w:lang w:eastAsia="en-GB" w:bidi="ar-SA"/>
        </w:rPr>
      </w:pPr>
      <w:hyperlink w:anchor="_Toc85467280" w:history="1">
        <w:r w:rsidR="00931432" w:rsidRPr="002F5826">
          <w:rPr>
            <w:rStyle w:val="Hyperlink"/>
            <w:noProof/>
            <w:lang w:val="en-AU"/>
          </w:rPr>
          <w:t>3.3.6</w:t>
        </w:r>
        <w:r w:rsidR="00931432">
          <w:rPr>
            <w:rFonts w:eastAsiaTheme="minorEastAsia" w:cstheme="minorBidi"/>
            <w:i w:val="0"/>
            <w:iCs w:val="0"/>
            <w:noProof/>
            <w:sz w:val="22"/>
            <w:szCs w:val="22"/>
            <w:lang w:eastAsia="en-GB" w:bidi="ar-SA"/>
          </w:rPr>
          <w:tab/>
        </w:r>
        <w:r w:rsidR="00931432" w:rsidRPr="002F5826">
          <w:rPr>
            <w:rStyle w:val="Hyperlink"/>
            <w:noProof/>
            <w:lang w:val="en-AU"/>
          </w:rPr>
          <w:t>Assessments by other regulatory agencies</w:t>
        </w:r>
        <w:r w:rsidR="00931432">
          <w:rPr>
            <w:noProof/>
            <w:webHidden/>
          </w:rPr>
          <w:tab/>
        </w:r>
        <w:r w:rsidR="00931432">
          <w:rPr>
            <w:noProof/>
            <w:webHidden/>
          </w:rPr>
          <w:fldChar w:fldCharType="begin"/>
        </w:r>
        <w:r w:rsidR="00931432">
          <w:rPr>
            <w:noProof/>
            <w:webHidden/>
          </w:rPr>
          <w:instrText xml:space="preserve"> PAGEREF _Toc85467280 \h </w:instrText>
        </w:r>
        <w:r w:rsidR="00931432">
          <w:rPr>
            <w:noProof/>
            <w:webHidden/>
          </w:rPr>
        </w:r>
        <w:r w:rsidR="00931432">
          <w:rPr>
            <w:noProof/>
            <w:webHidden/>
          </w:rPr>
          <w:fldChar w:fldCharType="separate"/>
        </w:r>
        <w:r w:rsidR="00931432">
          <w:rPr>
            <w:noProof/>
            <w:webHidden/>
          </w:rPr>
          <w:t>8</w:t>
        </w:r>
        <w:r w:rsidR="00931432">
          <w:rPr>
            <w:noProof/>
            <w:webHidden/>
          </w:rPr>
          <w:fldChar w:fldCharType="end"/>
        </w:r>
      </w:hyperlink>
    </w:p>
    <w:p w14:paraId="00B92BB3" w14:textId="497B441D" w:rsidR="00931432" w:rsidRDefault="00CE7740">
      <w:pPr>
        <w:pStyle w:val="TOC2"/>
        <w:tabs>
          <w:tab w:val="left" w:pos="880"/>
          <w:tab w:val="right" w:leader="dot" w:pos="9060"/>
        </w:tabs>
        <w:rPr>
          <w:rFonts w:eastAsiaTheme="minorEastAsia" w:cstheme="minorBidi"/>
          <w:smallCaps w:val="0"/>
          <w:noProof/>
          <w:sz w:val="22"/>
          <w:szCs w:val="22"/>
          <w:lang w:eastAsia="en-GB" w:bidi="ar-SA"/>
        </w:rPr>
      </w:pPr>
      <w:hyperlink w:anchor="_Toc85467281" w:history="1">
        <w:r w:rsidR="00931432" w:rsidRPr="002F5826">
          <w:rPr>
            <w:rStyle w:val="Hyperlink"/>
            <w:noProof/>
          </w:rPr>
          <w:t>3.4</w:t>
        </w:r>
        <w:r w:rsidR="00931432">
          <w:rPr>
            <w:rFonts w:eastAsiaTheme="minorEastAsia" w:cstheme="minorBidi"/>
            <w:smallCaps w:val="0"/>
            <w:noProof/>
            <w:sz w:val="22"/>
            <w:szCs w:val="22"/>
            <w:lang w:eastAsia="en-GB" w:bidi="ar-SA"/>
          </w:rPr>
          <w:tab/>
        </w:r>
        <w:r w:rsidR="00931432" w:rsidRPr="002F5826">
          <w:rPr>
            <w:rStyle w:val="Hyperlink"/>
            <w:noProof/>
          </w:rPr>
          <w:t>Dietary exposure assessment</w:t>
        </w:r>
        <w:r w:rsidR="00931432">
          <w:rPr>
            <w:noProof/>
            <w:webHidden/>
          </w:rPr>
          <w:tab/>
        </w:r>
        <w:r w:rsidR="00931432">
          <w:rPr>
            <w:noProof/>
            <w:webHidden/>
          </w:rPr>
          <w:fldChar w:fldCharType="begin"/>
        </w:r>
        <w:r w:rsidR="00931432">
          <w:rPr>
            <w:noProof/>
            <w:webHidden/>
          </w:rPr>
          <w:instrText xml:space="preserve"> PAGEREF _Toc85467281 \h </w:instrText>
        </w:r>
        <w:r w:rsidR="00931432">
          <w:rPr>
            <w:noProof/>
            <w:webHidden/>
          </w:rPr>
        </w:r>
        <w:r w:rsidR="00931432">
          <w:rPr>
            <w:noProof/>
            <w:webHidden/>
          </w:rPr>
          <w:fldChar w:fldCharType="separate"/>
        </w:r>
        <w:r w:rsidR="00931432">
          <w:rPr>
            <w:noProof/>
            <w:webHidden/>
          </w:rPr>
          <w:t>9</w:t>
        </w:r>
        <w:r w:rsidR="00931432">
          <w:rPr>
            <w:noProof/>
            <w:webHidden/>
          </w:rPr>
          <w:fldChar w:fldCharType="end"/>
        </w:r>
      </w:hyperlink>
    </w:p>
    <w:p w14:paraId="5ACE2EDE" w14:textId="6FB100CA" w:rsidR="00931432" w:rsidRDefault="00CE7740">
      <w:pPr>
        <w:pStyle w:val="TOC1"/>
        <w:tabs>
          <w:tab w:val="left" w:pos="440"/>
          <w:tab w:val="right" w:leader="dot" w:pos="9060"/>
        </w:tabs>
        <w:rPr>
          <w:rFonts w:eastAsiaTheme="minorEastAsia" w:cstheme="minorBidi"/>
          <w:b w:val="0"/>
          <w:bCs w:val="0"/>
          <w:caps w:val="0"/>
          <w:noProof/>
          <w:sz w:val="22"/>
          <w:szCs w:val="22"/>
          <w:lang w:eastAsia="en-GB" w:bidi="ar-SA"/>
        </w:rPr>
      </w:pPr>
      <w:hyperlink w:anchor="_Toc85467282" w:history="1">
        <w:r w:rsidR="00931432" w:rsidRPr="002F5826">
          <w:rPr>
            <w:rStyle w:val="Hyperlink"/>
            <w:noProof/>
            <w:lang w:val="en-AU"/>
          </w:rPr>
          <w:t>4</w:t>
        </w:r>
        <w:r w:rsidR="00931432">
          <w:rPr>
            <w:rFonts w:eastAsiaTheme="minorEastAsia" w:cstheme="minorBidi"/>
            <w:b w:val="0"/>
            <w:bCs w:val="0"/>
            <w:caps w:val="0"/>
            <w:noProof/>
            <w:sz w:val="22"/>
            <w:szCs w:val="22"/>
            <w:lang w:eastAsia="en-GB" w:bidi="ar-SA"/>
          </w:rPr>
          <w:tab/>
        </w:r>
        <w:r w:rsidR="00931432" w:rsidRPr="002F5826">
          <w:rPr>
            <w:rStyle w:val="Hyperlink"/>
            <w:noProof/>
            <w:lang w:val="en-AU"/>
          </w:rPr>
          <w:t>Discussion</w:t>
        </w:r>
        <w:r w:rsidR="00931432">
          <w:rPr>
            <w:noProof/>
            <w:webHidden/>
          </w:rPr>
          <w:tab/>
        </w:r>
        <w:r w:rsidR="00931432">
          <w:rPr>
            <w:noProof/>
            <w:webHidden/>
          </w:rPr>
          <w:fldChar w:fldCharType="begin"/>
        </w:r>
        <w:r w:rsidR="00931432">
          <w:rPr>
            <w:noProof/>
            <w:webHidden/>
          </w:rPr>
          <w:instrText xml:space="preserve"> PAGEREF _Toc85467282 \h </w:instrText>
        </w:r>
        <w:r w:rsidR="00931432">
          <w:rPr>
            <w:noProof/>
            <w:webHidden/>
          </w:rPr>
        </w:r>
        <w:r w:rsidR="00931432">
          <w:rPr>
            <w:noProof/>
            <w:webHidden/>
          </w:rPr>
          <w:fldChar w:fldCharType="separate"/>
        </w:r>
        <w:r w:rsidR="00931432">
          <w:rPr>
            <w:noProof/>
            <w:webHidden/>
          </w:rPr>
          <w:t>10</w:t>
        </w:r>
        <w:r w:rsidR="00931432">
          <w:rPr>
            <w:noProof/>
            <w:webHidden/>
          </w:rPr>
          <w:fldChar w:fldCharType="end"/>
        </w:r>
      </w:hyperlink>
    </w:p>
    <w:p w14:paraId="32E8E75F" w14:textId="44CA808C" w:rsidR="00931432" w:rsidRDefault="00CE7740">
      <w:pPr>
        <w:pStyle w:val="TOC1"/>
        <w:tabs>
          <w:tab w:val="left" w:pos="440"/>
          <w:tab w:val="right" w:leader="dot" w:pos="9060"/>
        </w:tabs>
        <w:rPr>
          <w:rFonts w:eastAsiaTheme="minorEastAsia" w:cstheme="minorBidi"/>
          <w:b w:val="0"/>
          <w:bCs w:val="0"/>
          <w:caps w:val="0"/>
          <w:noProof/>
          <w:sz w:val="22"/>
          <w:szCs w:val="22"/>
          <w:lang w:eastAsia="en-GB" w:bidi="ar-SA"/>
        </w:rPr>
      </w:pPr>
      <w:hyperlink w:anchor="_Toc85467283" w:history="1">
        <w:r w:rsidR="00931432" w:rsidRPr="002F5826">
          <w:rPr>
            <w:rStyle w:val="Hyperlink"/>
            <w:noProof/>
            <w:lang w:val="en-AU"/>
          </w:rPr>
          <w:t xml:space="preserve">5 </w:t>
        </w:r>
        <w:r w:rsidR="00931432">
          <w:rPr>
            <w:rFonts w:eastAsiaTheme="minorEastAsia" w:cstheme="minorBidi"/>
            <w:b w:val="0"/>
            <w:bCs w:val="0"/>
            <w:caps w:val="0"/>
            <w:noProof/>
            <w:sz w:val="22"/>
            <w:szCs w:val="22"/>
            <w:lang w:eastAsia="en-GB" w:bidi="ar-SA"/>
          </w:rPr>
          <w:tab/>
        </w:r>
        <w:r w:rsidR="00931432" w:rsidRPr="002F5826">
          <w:rPr>
            <w:rStyle w:val="Hyperlink"/>
            <w:noProof/>
            <w:lang w:val="en-AU"/>
          </w:rPr>
          <w:t>Conclusions</w:t>
        </w:r>
        <w:r w:rsidR="00931432">
          <w:rPr>
            <w:noProof/>
            <w:webHidden/>
          </w:rPr>
          <w:tab/>
        </w:r>
        <w:r w:rsidR="00931432">
          <w:rPr>
            <w:noProof/>
            <w:webHidden/>
          </w:rPr>
          <w:fldChar w:fldCharType="begin"/>
        </w:r>
        <w:r w:rsidR="00931432">
          <w:rPr>
            <w:noProof/>
            <w:webHidden/>
          </w:rPr>
          <w:instrText xml:space="preserve"> PAGEREF _Toc85467283 \h </w:instrText>
        </w:r>
        <w:r w:rsidR="00931432">
          <w:rPr>
            <w:noProof/>
            <w:webHidden/>
          </w:rPr>
        </w:r>
        <w:r w:rsidR="00931432">
          <w:rPr>
            <w:noProof/>
            <w:webHidden/>
          </w:rPr>
          <w:fldChar w:fldCharType="separate"/>
        </w:r>
        <w:r w:rsidR="00931432">
          <w:rPr>
            <w:noProof/>
            <w:webHidden/>
          </w:rPr>
          <w:t>11</w:t>
        </w:r>
        <w:r w:rsidR="00931432">
          <w:rPr>
            <w:noProof/>
            <w:webHidden/>
          </w:rPr>
          <w:fldChar w:fldCharType="end"/>
        </w:r>
      </w:hyperlink>
    </w:p>
    <w:p w14:paraId="2C00FBF5" w14:textId="7FA1A61C" w:rsidR="00931432" w:rsidRDefault="00CE7740">
      <w:pPr>
        <w:pStyle w:val="TOC1"/>
        <w:tabs>
          <w:tab w:val="left" w:pos="440"/>
          <w:tab w:val="right" w:leader="dot" w:pos="9060"/>
        </w:tabs>
        <w:rPr>
          <w:rFonts w:eastAsiaTheme="minorEastAsia" w:cstheme="minorBidi"/>
          <w:b w:val="0"/>
          <w:bCs w:val="0"/>
          <w:caps w:val="0"/>
          <w:noProof/>
          <w:sz w:val="22"/>
          <w:szCs w:val="22"/>
          <w:lang w:eastAsia="en-GB" w:bidi="ar-SA"/>
        </w:rPr>
      </w:pPr>
      <w:hyperlink w:anchor="_Toc85467284" w:history="1">
        <w:r w:rsidR="00931432" w:rsidRPr="002F5826">
          <w:rPr>
            <w:rStyle w:val="Hyperlink"/>
            <w:noProof/>
            <w:lang w:val="en-AU"/>
          </w:rPr>
          <w:t xml:space="preserve">6 </w:t>
        </w:r>
        <w:r w:rsidR="00931432">
          <w:rPr>
            <w:rFonts w:eastAsiaTheme="minorEastAsia" w:cstheme="minorBidi"/>
            <w:b w:val="0"/>
            <w:bCs w:val="0"/>
            <w:caps w:val="0"/>
            <w:noProof/>
            <w:sz w:val="22"/>
            <w:szCs w:val="22"/>
            <w:lang w:eastAsia="en-GB" w:bidi="ar-SA"/>
          </w:rPr>
          <w:tab/>
        </w:r>
        <w:r w:rsidR="00931432" w:rsidRPr="002F5826">
          <w:rPr>
            <w:rStyle w:val="Hyperlink"/>
            <w:noProof/>
            <w:lang w:val="en-AU"/>
          </w:rPr>
          <w:t>References</w:t>
        </w:r>
        <w:r w:rsidR="00931432">
          <w:rPr>
            <w:noProof/>
            <w:webHidden/>
          </w:rPr>
          <w:tab/>
        </w:r>
        <w:r w:rsidR="00931432">
          <w:rPr>
            <w:noProof/>
            <w:webHidden/>
          </w:rPr>
          <w:fldChar w:fldCharType="begin"/>
        </w:r>
        <w:r w:rsidR="00931432">
          <w:rPr>
            <w:noProof/>
            <w:webHidden/>
          </w:rPr>
          <w:instrText xml:space="preserve"> PAGEREF _Toc85467284 \h </w:instrText>
        </w:r>
        <w:r w:rsidR="00931432">
          <w:rPr>
            <w:noProof/>
            <w:webHidden/>
          </w:rPr>
        </w:r>
        <w:r w:rsidR="00931432">
          <w:rPr>
            <w:noProof/>
            <w:webHidden/>
          </w:rPr>
          <w:fldChar w:fldCharType="separate"/>
        </w:r>
        <w:r w:rsidR="00931432">
          <w:rPr>
            <w:noProof/>
            <w:webHidden/>
          </w:rPr>
          <w:t>11</w:t>
        </w:r>
        <w:r w:rsidR="00931432">
          <w:rPr>
            <w:noProof/>
            <w:webHidden/>
          </w:rPr>
          <w:fldChar w:fldCharType="end"/>
        </w:r>
      </w:hyperlink>
    </w:p>
    <w:p w14:paraId="34282598" w14:textId="2C7C79B9" w:rsidR="001D3A89" w:rsidRPr="00EC273B" w:rsidRDefault="00326D85" w:rsidP="00051ED9">
      <w:pPr>
        <w:rPr>
          <w:lang w:val="en-AU"/>
        </w:rPr>
      </w:pPr>
      <w:r w:rsidRPr="00EC273B">
        <w:rPr>
          <w:lang w:val="en-AU"/>
        </w:rPr>
        <w:fldChar w:fldCharType="end"/>
      </w:r>
    </w:p>
    <w:p w14:paraId="34A534C2" w14:textId="5AA3B882" w:rsidR="001D3A89" w:rsidRPr="001D3A89" w:rsidRDefault="001D3A89">
      <w:pPr>
        <w:pStyle w:val="TOC3"/>
        <w:ind w:left="446"/>
        <w:rPr>
          <w:i w:val="0"/>
        </w:rPr>
      </w:pPr>
    </w:p>
    <w:p w14:paraId="26B82DC2" w14:textId="6945C1C9" w:rsidR="00562917" w:rsidRPr="00EC273B" w:rsidRDefault="00562917" w:rsidP="00051ED9">
      <w:pPr>
        <w:rPr>
          <w:lang w:val="en-AU"/>
        </w:rPr>
      </w:pPr>
    </w:p>
    <w:p w14:paraId="02C0204E" w14:textId="77777777" w:rsidR="00E066BA" w:rsidRPr="00EC273B" w:rsidRDefault="00E066BA" w:rsidP="00051ED9">
      <w:pPr>
        <w:rPr>
          <w:lang w:val="en-AU"/>
        </w:rPr>
      </w:pPr>
    </w:p>
    <w:p w14:paraId="1FA405FD" w14:textId="77777777" w:rsidR="00051ED9" w:rsidRPr="00EC273B" w:rsidRDefault="00562917" w:rsidP="00772BDC">
      <w:pPr>
        <w:rPr>
          <w:lang w:val="en-AU"/>
        </w:rPr>
      </w:pPr>
      <w:r w:rsidRPr="00EC273B">
        <w:rPr>
          <w:lang w:val="en-AU"/>
        </w:rPr>
        <w:br w:type="page"/>
      </w:r>
    </w:p>
    <w:p w14:paraId="79710974" w14:textId="2F90401D" w:rsidR="00D03077" w:rsidRDefault="00C63704" w:rsidP="00C63704">
      <w:pPr>
        <w:pStyle w:val="Heading1"/>
        <w:rPr>
          <w:lang w:val="en-AU"/>
        </w:rPr>
      </w:pPr>
      <w:bookmarkStart w:id="4" w:name="_Toc501699816"/>
      <w:bookmarkStart w:id="5" w:name="_Toc53473502"/>
      <w:bookmarkStart w:id="6" w:name="_Toc85467263"/>
      <w:bookmarkStart w:id="7" w:name="_Toc505255637"/>
      <w:bookmarkStart w:id="8" w:name="_Toc53473514"/>
      <w:r>
        <w:rPr>
          <w:lang w:val="en-AU"/>
        </w:rPr>
        <w:lastRenderedPageBreak/>
        <w:t>1.</w:t>
      </w:r>
      <w:r>
        <w:rPr>
          <w:lang w:val="en-AU"/>
        </w:rPr>
        <w:tab/>
      </w:r>
      <w:r w:rsidR="00D03077" w:rsidRPr="00EC273B">
        <w:rPr>
          <w:lang w:val="en-AU"/>
        </w:rPr>
        <w:t>Introduction</w:t>
      </w:r>
      <w:bookmarkEnd w:id="4"/>
      <w:bookmarkEnd w:id="5"/>
      <w:bookmarkEnd w:id="6"/>
    </w:p>
    <w:p w14:paraId="101411C2" w14:textId="1A3905AC" w:rsidR="00A15CDA" w:rsidRPr="00B27803" w:rsidRDefault="00A15CDA" w:rsidP="00A15CDA">
      <w:r w:rsidRPr="00B27803">
        <w:t xml:space="preserve">The application seeks permission to update the microbial source name for the currently permitted enzyme, beta-fructofuranosidase (Enzyme Commission (EC) number 3.2.1.26), as a processing aid in the Australia New Zealand Food Standards Code (the Code). That is, </w:t>
      </w:r>
      <w:r w:rsidR="005F0421">
        <w:t>adding the</w:t>
      </w:r>
      <w:r w:rsidRPr="00B27803">
        <w:t xml:space="preserve"> updated name of the currently permitted source microorganism </w:t>
      </w:r>
      <w:r w:rsidRPr="00B27803">
        <w:rPr>
          <w:i/>
        </w:rPr>
        <w:t>Aspergillus niger</w:t>
      </w:r>
      <w:r w:rsidRPr="00B27803">
        <w:t xml:space="preserve">, being </w:t>
      </w:r>
      <w:r w:rsidRPr="00B27803">
        <w:rPr>
          <w:i/>
        </w:rPr>
        <w:t>Aspergillus fijiensis,</w:t>
      </w:r>
      <w:r w:rsidRPr="00B27803">
        <w:t xml:space="preserve"> as a new permitted source microorganism for the enzyme. </w:t>
      </w:r>
    </w:p>
    <w:p w14:paraId="7838EBEC" w14:textId="6915EF86" w:rsidR="00FC7A71" w:rsidRPr="00B27803" w:rsidRDefault="00FC7A71" w:rsidP="00A15CDA"/>
    <w:p w14:paraId="0992E018" w14:textId="3E0C0428" w:rsidR="00FC7A71" w:rsidRPr="00B27803" w:rsidRDefault="00FC7A71" w:rsidP="00A15CDA">
      <w:r w:rsidRPr="00B27803">
        <w:rPr>
          <w:rFonts w:cs="Arial"/>
          <w:szCs w:val="22"/>
        </w:rPr>
        <w:t>The enzyme was permitted in the Code as a permitted processing aid as an outcome from application A1055</w:t>
      </w:r>
      <w:r w:rsidRPr="00B27803">
        <w:rPr>
          <w:rStyle w:val="FootnoteReference"/>
          <w:rFonts w:cs="Arial"/>
          <w:szCs w:val="22"/>
        </w:rPr>
        <w:footnoteReference w:id="2"/>
      </w:r>
      <w:r w:rsidRPr="00B27803">
        <w:rPr>
          <w:rFonts w:cs="Arial"/>
          <w:szCs w:val="22"/>
        </w:rPr>
        <w:t xml:space="preserve"> for the use of fructo-oligosaccharides (FOS) as a nutritive substance.</w:t>
      </w:r>
      <w:r w:rsidRPr="00B27803">
        <w:t xml:space="preserve"> </w:t>
      </w:r>
      <w:r w:rsidR="00DD1589">
        <w:t xml:space="preserve">It is noted that the permission for the enzyme is for all foods, for all technological purposes, not just for the production of FOS. </w:t>
      </w:r>
      <w:r w:rsidRPr="00B27803">
        <w:t xml:space="preserve">The gazettal occurred in 2013. </w:t>
      </w:r>
      <w:r w:rsidR="00D079B2" w:rsidRPr="00B27803">
        <w:t xml:space="preserve">No other amendments to the permissions are sought. </w:t>
      </w:r>
      <w:r w:rsidRPr="00B27803">
        <w:t xml:space="preserve">This assessment therefore needs to confirm if there has been any new information in the literature since gazettal to question the permission. </w:t>
      </w:r>
    </w:p>
    <w:p w14:paraId="38FFB7C6" w14:textId="47A7E063" w:rsidR="00A15CDA" w:rsidRPr="00B27803" w:rsidRDefault="00A15CDA" w:rsidP="00A15CDA"/>
    <w:p w14:paraId="0E581580" w14:textId="576AA0FB" w:rsidR="00A15CDA" w:rsidRPr="00B27803" w:rsidRDefault="00A15CDA" w:rsidP="00A15CDA">
      <w:r w:rsidRPr="00B27803">
        <w:t xml:space="preserve">The purpose of the risk assessment and technical assessment of the application is </w:t>
      </w:r>
      <w:r w:rsidR="00FC7A71" w:rsidRPr="00B27803">
        <w:t xml:space="preserve">also </w:t>
      </w:r>
      <w:r w:rsidRPr="00B27803">
        <w:t>to:</w:t>
      </w:r>
    </w:p>
    <w:p w14:paraId="1DB44DF7" w14:textId="782C2435" w:rsidR="00A15CDA" w:rsidRPr="00B27803" w:rsidRDefault="00A15CDA" w:rsidP="00A15CDA"/>
    <w:p w14:paraId="0CDB0AF1" w14:textId="230977C0" w:rsidR="00FC7A71" w:rsidRPr="00B27803" w:rsidRDefault="00FC7A71" w:rsidP="00FC7A71">
      <w:pPr>
        <w:pStyle w:val="FSBullet1"/>
        <w:rPr>
          <w:lang w:val="en-AU"/>
        </w:rPr>
      </w:pPr>
      <w:r w:rsidRPr="00B27803">
        <w:rPr>
          <w:lang w:val="en-AU"/>
        </w:rPr>
        <w:t>re-assess the safety of the enzyme and the source microorganism since the original permission</w:t>
      </w:r>
    </w:p>
    <w:p w14:paraId="3D43BD38" w14:textId="63786F7C" w:rsidR="00FC7A71" w:rsidRPr="00B27803" w:rsidRDefault="00FC7A71" w:rsidP="00FC7A71">
      <w:pPr>
        <w:pStyle w:val="FSBullet1"/>
        <w:rPr>
          <w:lang w:val="en-AU"/>
        </w:rPr>
      </w:pPr>
      <w:r w:rsidRPr="00B27803">
        <w:rPr>
          <w:lang w:val="en-AU"/>
        </w:rPr>
        <w:t>check the updated name of the microorganism as requested is scientifically justified</w:t>
      </w:r>
    </w:p>
    <w:p w14:paraId="1E59C69C" w14:textId="2008DBE5" w:rsidR="00FC7A71" w:rsidRPr="00B27803" w:rsidRDefault="00FC7A71" w:rsidP="00FC7A71">
      <w:pPr>
        <w:pStyle w:val="FSBullet1"/>
        <w:rPr>
          <w:lang w:val="en-AU"/>
        </w:rPr>
      </w:pPr>
      <w:r w:rsidRPr="00B27803">
        <w:rPr>
          <w:lang w:val="en-AU"/>
        </w:rPr>
        <w:t xml:space="preserve">confirm the dietary exposure </w:t>
      </w:r>
      <w:r w:rsidR="00A90A14">
        <w:rPr>
          <w:lang w:val="en-AU"/>
        </w:rPr>
        <w:t>from the</w:t>
      </w:r>
      <w:r w:rsidRPr="00B27803">
        <w:rPr>
          <w:lang w:val="en-AU"/>
        </w:rPr>
        <w:t xml:space="preserve"> use of the enzyme does not </w:t>
      </w:r>
      <w:r w:rsidR="00324345">
        <w:rPr>
          <w:lang w:val="en-AU"/>
        </w:rPr>
        <w:t>indicate</w:t>
      </w:r>
      <w:r w:rsidRPr="00B27803">
        <w:rPr>
          <w:lang w:val="en-AU"/>
        </w:rPr>
        <w:t xml:space="preserve"> any safety concerns.</w:t>
      </w:r>
    </w:p>
    <w:p w14:paraId="16772270" w14:textId="77777777" w:rsidR="00D03077" w:rsidRPr="00EC273B" w:rsidRDefault="00D03077" w:rsidP="00C63704">
      <w:pPr>
        <w:pStyle w:val="Heading1"/>
        <w:rPr>
          <w:lang w:val="en-AU"/>
        </w:rPr>
      </w:pPr>
      <w:bookmarkStart w:id="9" w:name="_Toc53473504"/>
      <w:bookmarkStart w:id="10" w:name="_Toc85467264"/>
      <w:r w:rsidRPr="00EC273B">
        <w:rPr>
          <w:lang w:val="en-AU"/>
        </w:rPr>
        <w:t>2</w:t>
      </w:r>
      <w:r w:rsidRPr="00EC273B">
        <w:rPr>
          <w:lang w:val="en-AU"/>
        </w:rPr>
        <w:tab/>
        <w:t>Food technology assessment</w:t>
      </w:r>
      <w:bookmarkEnd w:id="9"/>
      <w:bookmarkEnd w:id="10"/>
    </w:p>
    <w:p w14:paraId="7B6CE19B" w14:textId="77777777" w:rsidR="00C63704" w:rsidRPr="00DC06C8" w:rsidRDefault="00C63704" w:rsidP="00C63704">
      <w:pPr>
        <w:pStyle w:val="Heading2"/>
      </w:pPr>
      <w:bookmarkStart w:id="11" w:name="_Toc472327044"/>
      <w:bookmarkStart w:id="12" w:name="_Toc501699819"/>
      <w:bookmarkStart w:id="13" w:name="_Toc67559425"/>
      <w:bookmarkStart w:id="14" w:name="_Toc75789512"/>
      <w:bookmarkStart w:id="15" w:name="_Toc76390761"/>
      <w:bookmarkStart w:id="16" w:name="_Toc85467265"/>
      <w:r w:rsidRPr="00DC06C8">
        <w:t>2.1</w:t>
      </w:r>
      <w:r w:rsidRPr="00DC06C8">
        <w:tab/>
        <w:t>Characterisation of the enzyme</w:t>
      </w:r>
      <w:bookmarkEnd w:id="11"/>
      <w:bookmarkEnd w:id="12"/>
      <w:bookmarkEnd w:id="13"/>
      <w:bookmarkEnd w:id="14"/>
      <w:bookmarkEnd w:id="15"/>
      <w:bookmarkEnd w:id="16"/>
    </w:p>
    <w:p w14:paraId="1B17F351" w14:textId="77777777" w:rsidR="00C63704" w:rsidRPr="00DC06C8" w:rsidRDefault="00C63704" w:rsidP="00B373E9">
      <w:pPr>
        <w:pStyle w:val="Heading3"/>
      </w:pPr>
      <w:bookmarkStart w:id="17" w:name="_Toc67559426"/>
      <w:bookmarkStart w:id="18" w:name="_Toc85467266"/>
      <w:r w:rsidRPr="00DC06C8">
        <w:t>2.1.1</w:t>
      </w:r>
      <w:r w:rsidRPr="00DC06C8">
        <w:tab/>
        <w:t>Identity and properties of the enzyme</w:t>
      </w:r>
      <w:bookmarkEnd w:id="17"/>
      <w:bookmarkEnd w:id="18"/>
    </w:p>
    <w:p w14:paraId="00DE3595" w14:textId="6E867C21" w:rsidR="00C63704" w:rsidRPr="008A48B2" w:rsidRDefault="00C63704" w:rsidP="00C63704">
      <w:pPr>
        <w:widowControl/>
        <w:autoSpaceDE w:val="0"/>
        <w:autoSpaceDN w:val="0"/>
        <w:adjustRightInd w:val="0"/>
        <w:rPr>
          <w:rFonts w:eastAsia="Calibri" w:cs="Arial"/>
          <w:szCs w:val="22"/>
          <w:lang w:bidi="ar-SA"/>
        </w:rPr>
      </w:pPr>
      <w:r w:rsidRPr="008A48B2">
        <w:rPr>
          <w:rFonts w:eastAsia="Calibri" w:cs="Arial"/>
          <w:szCs w:val="22"/>
          <w:lang w:bidi="ar-SA"/>
        </w:rPr>
        <w:t xml:space="preserve">The </w:t>
      </w:r>
      <w:r w:rsidR="00E73A8A">
        <w:rPr>
          <w:rFonts w:eastAsia="Calibri" w:cs="Arial"/>
          <w:szCs w:val="22"/>
          <w:lang w:bidi="ar-SA"/>
        </w:rPr>
        <w:t>current</w:t>
      </w:r>
      <w:r w:rsidR="00E73A8A" w:rsidRPr="008A48B2">
        <w:rPr>
          <w:rFonts w:eastAsia="Calibri" w:cs="Arial"/>
          <w:szCs w:val="22"/>
          <w:lang w:bidi="ar-SA"/>
        </w:rPr>
        <w:t xml:space="preserve"> </w:t>
      </w:r>
      <w:r w:rsidRPr="008A48B2">
        <w:rPr>
          <w:rFonts w:eastAsia="Calibri" w:cs="Arial"/>
          <w:szCs w:val="22"/>
          <w:lang w:bidi="ar-SA"/>
        </w:rPr>
        <w:t>production microorganism</w:t>
      </w:r>
      <w:r>
        <w:rPr>
          <w:rFonts w:eastAsia="Calibri" w:cs="Arial"/>
          <w:szCs w:val="22"/>
          <w:lang w:bidi="ar-SA"/>
        </w:rPr>
        <w:t>s</w:t>
      </w:r>
      <w:r w:rsidRPr="008A48B2">
        <w:rPr>
          <w:rFonts w:eastAsia="Calibri" w:cs="Arial"/>
          <w:szCs w:val="22"/>
          <w:lang w:bidi="ar-SA"/>
        </w:rPr>
        <w:t xml:space="preserve"> of the </w:t>
      </w:r>
      <w:r>
        <w:rPr>
          <w:rFonts w:eastAsia="Calibri" w:cs="Arial"/>
          <w:szCs w:val="22"/>
          <w:lang w:bidi="ar-SA"/>
        </w:rPr>
        <w:t xml:space="preserve">permitted </w:t>
      </w:r>
      <w:r w:rsidRPr="008A48B2">
        <w:rPr>
          <w:rFonts w:eastAsia="Calibri" w:cs="Arial"/>
          <w:szCs w:val="22"/>
          <w:lang w:bidi="ar-SA"/>
        </w:rPr>
        <w:t>enzyme</w:t>
      </w:r>
      <w:r w:rsidRPr="008A48B2">
        <w:rPr>
          <w:rFonts w:cs="Arial"/>
          <w:sz w:val="24"/>
          <w:lang w:eastAsia="en-GB"/>
        </w:rPr>
        <w:t xml:space="preserve"> beta-</w:t>
      </w:r>
      <w:r w:rsidRPr="008A48B2">
        <w:rPr>
          <w:rFonts w:cs="Arial"/>
        </w:rPr>
        <w:t>fructofuranosidase</w:t>
      </w:r>
      <w:r w:rsidRPr="008A48B2">
        <w:rPr>
          <w:rFonts w:eastAsia="Calibri" w:cs="Arial"/>
          <w:szCs w:val="22"/>
          <w:lang w:bidi="ar-SA"/>
        </w:rPr>
        <w:t xml:space="preserve"> </w:t>
      </w:r>
      <w:r>
        <w:rPr>
          <w:rFonts w:eastAsia="Calibri" w:cs="Arial"/>
          <w:szCs w:val="22"/>
          <w:lang w:bidi="ar-SA"/>
        </w:rPr>
        <w:t>are non-genetically modified</w:t>
      </w:r>
      <w:r w:rsidRPr="008A48B2">
        <w:rPr>
          <w:rFonts w:eastAsia="Calibri" w:cs="Arial"/>
          <w:szCs w:val="22"/>
          <w:lang w:bidi="ar-SA"/>
        </w:rPr>
        <w:t xml:space="preserve"> </w:t>
      </w:r>
      <w:r w:rsidR="00275BBA">
        <w:rPr>
          <w:rFonts w:eastAsia="Calibri" w:cs="Arial"/>
          <w:szCs w:val="22"/>
          <w:lang w:bidi="ar-SA"/>
        </w:rPr>
        <w:t xml:space="preserve">strains of </w:t>
      </w:r>
      <w:r>
        <w:rPr>
          <w:rFonts w:eastAsia="Calibri" w:cs="Arial"/>
          <w:i/>
          <w:szCs w:val="22"/>
          <w:lang w:bidi="ar-SA"/>
        </w:rPr>
        <w:t xml:space="preserve">Aspergillus niger </w:t>
      </w:r>
      <w:r w:rsidRPr="008B2780">
        <w:rPr>
          <w:rFonts w:eastAsia="Calibri" w:cs="Arial"/>
          <w:szCs w:val="22"/>
          <w:lang w:bidi="ar-SA"/>
        </w:rPr>
        <w:t>and</w:t>
      </w:r>
      <w:r>
        <w:rPr>
          <w:rFonts w:eastAsia="Calibri" w:cs="Arial"/>
          <w:i/>
          <w:szCs w:val="22"/>
          <w:lang w:bidi="ar-SA"/>
        </w:rPr>
        <w:t xml:space="preserve"> Saccharomyces cerevisiae</w:t>
      </w:r>
      <w:r w:rsidRPr="008A48B2">
        <w:rPr>
          <w:rFonts w:eastAsia="Calibri" w:cs="Arial"/>
          <w:szCs w:val="22"/>
          <w:lang w:bidi="ar-SA"/>
        </w:rPr>
        <w:t xml:space="preserve">. </w:t>
      </w:r>
      <w:r>
        <w:rPr>
          <w:rFonts w:eastAsia="Calibri" w:cs="Arial"/>
          <w:szCs w:val="22"/>
          <w:lang w:bidi="ar-SA"/>
        </w:rPr>
        <w:t>A food technol</w:t>
      </w:r>
      <w:r w:rsidR="00E85224">
        <w:rPr>
          <w:rFonts w:eastAsia="Calibri" w:cs="Arial"/>
          <w:szCs w:val="22"/>
          <w:lang w:bidi="ar-SA"/>
        </w:rPr>
        <w:t>ogy section was written in the r</w:t>
      </w:r>
      <w:r>
        <w:rPr>
          <w:rFonts w:eastAsia="Calibri" w:cs="Arial"/>
          <w:szCs w:val="22"/>
          <w:lang w:bidi="ar-SA"/>
        </w:rPr>
        <w:t xml:space="preserve">isk and technical assessment report for the original application which permitted the enzyme sourced from </w:t>
      </w:r>
      <w:r w:rsidRPr="008B2780">
        <w:rPr>
          <w:rFonts w:eastAsia="Calibri" w:cs="Arial"/>
          <w:i/>
          <w:szCs w:val="22"/>
          <w:lang w:bidi="ar-SA"/>
        </w:rPr>
        <w:t>A. niger</w:t>
      </w:r>
      <w:r>
        <w:rPr>
          <w:rFonts w:eastAsia="Calibri" w:cs="Arial"/>
          <w:szCs w:val="22"/>
          <w:lang w:bidi="ar-SA"/>
        </w:rPr>
        <w:t xml:space="preserve"> in 2013, being application A1055. That application was specifically related to short chain fructo-oligosaccharides</w:t>
      </w:r>
      <w:r w:rsidR="00CC7AE9">
        <w:rPr>
          <w:rFonts w:eastAsia="Calibri" w:cs="Arial"/>
          <w:szCs w:val="22"/>
          <w:lang w:bidi="ar-SA"/>
        </w:rPr>
        <w:t>, for which the</w:t>
      </w:r>
      <w:r>
        <w:rPr>
          <w:rFonts w:eastAsia="Calibri" w:cs="Arial"/>
          <w:szCs w:val="22"/>
          <w:lang w:bidi="ar-SA"/>
        </w:rPr>
        <w:t xml:space="preserve"> enzyme is used in the production</w:t>
      </w:r>
      <w:r w:rsidR="00CC7AE9">
        <w:rPr>
          <w:rFonts w:eastAsia="Calibri" w:cs="Arial"/>
          <w:szCs w:val="22"/>
          <w:lang w:bidi="ar-SA"/>
        </w:rPr>
        <w:t xml:space="preserve"> of</w:t>
      </w:r>
      <w:r>
        <w:rPr>
          <w:rFonts w:eastAsia="Calibri" w:cs="Arial"/>
          <w:szCs w:val="22"/>
          <w:lang w:bidi="ar-SA"/>
        </w:rPr>
        <w:t>. The current applicant was also the provider of the enzyme and technical details related to applicati</w:t>
      </w:r>
      <w:r w:rsidR="00E85224">
        <w:rPr>
          <w:rFonts w:eastAsia="Calibri" w:cs="Arial"/>
          <w:szCs w:val="22"/>
          <w:lang w:bidi="ar-SA"/>
        </w:rPr>
        <w:t>on A1055. This report summarises</w:t>
      </w:r>
      <w:r>
        <w:rPr>
          <w:rFonts w:eastAsia="Calibri" w:cs="Arial"/>
          <w:szCs w:val="22"/>
          <w:lang w:bidi="ar-SA"/>
        </w:rPr>
        <w:t xml:space="preserve"> the information provided in the earlier document</w:t>
      </w:r>
      <w:r w:rsidR="00D079B2">
        <w:rPr>
          <w:rFonts w:eastAsia="Calibri" w:cs="Arial"/>
          <w:szCs w:val="22"/>
          <w:lang w:bidi="ar-SA"/>
        </w:rPr>
        <w:t>, which is still relevant</w:t>
      </w:r>
      <w:r>
        <w:rPr>
          <w:rFonts w:eastAsia="Calibri" w:cs="Arial"/>
          <w:szCs w:val="22"/>
          <w:lang w:bidi="ar-SA"/>
        </w:rPr>
        <w:t>.</w:t>
      </w:r>
    </w:p>
    <w:p w14:paraId="67BA4FB9" w14:textId="77777777" w:rsidR="00C63704" w:rsidRPr="008A48B2" w:rsidRDefault="00C63704" w:rsidP="00C63704">
      <w:pPr>
        <w:rPr>
          <w:rFonts w:cs="Arial"/>
        </w:rPr>
      </w:pPr>
    </w:p>
    <w:p w14:paraId="719147B1" w14:textId="77777777" w:rsidR="00C63704" w:rsidRPr="008A48B2" w:rsidRDefault="00C63704" w:rsidP="00C63704">
      <w:pPr>
        <w:widowControl/>
        <w:autoSpaceDE w:val="0"/>
        <w:autoSpaceDN w:val="0"/>
        <w:adjustRightInd w:val="0"/>
        <w:rPr>
          <w:rFonts w:eastAsia="Calibri" w:cs="Arial"/>
          <w:szCs w:val="22"/>
          <w:lang w:bidi="ar-SA"/>
        </w:rPr>
      </w:pPr>
      <w:r w:rsidRPr="008A48B2">
        <w:rPr>
          <w:rFonts w:eastAsia="Calibri" w:cs="Arial"/>
          <w:szCs w:val="22"/>
          <w:lang w:bidi="ar-SA"/>
        </w:rPr>
        <w:t>Details of the identity of the enzyme are provided in Table 1.</w:t>
      </w:r>
    </w:p>
    <w:p w14:paraId="6D7854A6" w14:textId="77777777" w:rsidR="00C63704" w:rsidRPr="00DC06C8" w:rsidRDefault="00C63704" w:rsidP="00C63704">
      <w:pPr>
        <w:widowControl/>
        <w:autoSpaceDE w:val="0"/>
        <w:autoSpaceDN w:val="0"/>
        <w:adjustRightInd w:val="0"/>
        <w:rPr>
          <w:rFonts w:ascii="CIDFont+F1" w:eastAsia="Calibri" w:hAnsi="CIDFont+F1" w:cs="CIDFont+F1"/>
          <w:szCs w:val="22"/>
          <w:lang w:bidi="ar-SA"/>
        </w:rPr>
      </w:pPr>
    </w:p>
    <w:p w14:paraId="3C544E2E" w14:textId="77777777" w:rsidR="00C63704" w:rsidRPr="00DC06C8" w:rsidRDefault="00C63704" w:rsidP="00C63704">
      <w:pPr>
        <w:rPr>
          <w:rFonts w:eastAsia="Calibri" w:cs="Arial"/>
          <w:b/>
          <w:lang w:bidi="ar-SA"/>
        </w:rPr>
      </w:pPr>
      <w:r w:rsidRPr="00DC06C8">
        <w:rPr>
          <w:rFonts w:eastAsia="Calibri" w:cs="Arial"/>
          <w:b/>
          <w:lang w:bidi="ar-SA"/>
        </w:rPr>
        <w:t xml:space="preserve">Table 1: Identity and relevant details of the enzyme </w:t>
      </w:r>
      <w:r w:rsidRPr="007E1E71">
        <w:rPr>
          <w:rFonts w:cs="Arial"/>
          <w:b/>
        </w:rPr>
        <w:t>beta-fructofuranosidase</w:t>
      </w:r>
    </w:p>
    <w:p w14:paraId="09480784" w14:textId="77777777" w:rsidR="00C63704" w:rsidRPr="00DC06C8" w:rsidRDefault="00C63704" w:rsidP="00C63704"/>
    <w:tbl>
      <w:tblPr>
        <w:tblStyle w:val="TableGrid3"/>
        <w:tblW w:w="0" w:type="auto"/>
        <w:tblLook w:val="04A0" w:firstRow="1" w:lastRow="0" w:firstColumn="1" w:lastColumn="0" w:noHBand="0" w:noVBand="1"/>
        <w:tblCaption w:val="Table 1"/>
        <w:tblDescription w:val="Identity and relevant details of the enzyme maltogenic alpha-amylase."/>
      </w:tblPr>
      <w:tblGrid>
        <w:gridCol w:w="3119"/>
        <w:gridCol w:w="5941"/>
      </w:tblGrid>
      <w:tr w:rsidR="00C63704" w:rsidRPr="00DC06C8" w14:paraId="22FC4713" w14:textId="77777777" w:rsidTr="009A740E">
        <w:tc>
          <w:tcPr>
            <w:tcW w:w="3119" w:type="dxa"/>
          </w:tcPr>
          <w:p w14:paraId="2B550D66" w14:textId="77777777" w:rsidR="00C63704" w:rsidRPr="00DC06C8" w:rsidRDefault="00C63704" w:rsidP="009A740E">
            <w:pPr>
              <w:spacing w:before="120" w:after="120"/>
              <w:rPr>
                <w:b/>
                <w:i/>
              </w:rPr>
            </w:pPr>
            <w:r w:rsidRPr="00DC06C8">
              <w:rPr>
                <w:b/>
                <w:i/>
              </w:rPr>
              <w:t>Generic common name:</w:t>
            </w:r>
          </w:p>
        </w:tc>
        <w:tc>
          <w:tcPr>
            <w:tcW w:w="5941" w:type="dxa"/>
          </w:tcPr>
          <w:p w14:paraId="78EFCF9A" w14:textId="77777777" w:rsidR="00C63704" w:rsidRPr="00DC06C8" w:rsidRDefault="00C63704" w:rsidP="009A740E">
            <w:pPr>
              <w:spacing w:before="120" w:after="120"/>
            </w:pPr>
            <w:r w:rsidRPr="008A48B2">
              <w:rPr>
                <w:sz w:val="24"/>
                <w:lang w:eastAsia="en-GB"/>
              </w:rPr>
              <w:t>beta</w:t>
            </w:r>
            <w:r w:rsidRPr="008A48B2">
              <w:rPr>
                <w:rFonts w:eastAsia="Times New Roman"/>
                <w:sz w:val="24"/>
                <w:lang w:val="en-GB" w:eastAsia="en-GB"/>
              </w:rPr>
              <w:t>-</w:t>
            </w:r>
            <w:r w:rsidRPr="008A48B2">
              <w:rPr>
                <w:lang w:val="en-GB"/>
              </w:rPr>
              <w:t>fructofuranosidase</w:t>
            </w:r>
          </w:p>
        </w:tc>
      </w:tr>
      <w:tr w:rsidR="00C63704" w:rsidRPr="00DC06C8" w14:paraId="38A277D5" w14:textId="77777777" w:rsidTr="009A740E">
        <w:tc>
          <w:tcPr>
            <w:tcW w:w="3119" w:type="dxa"/>
          </w:tcPr>
          <w:p w14:paraId="433F6EC1" w14:textId="77777777" w:rsidR="00C63704" w:rsidRPr="00DC06C8" w:rsidRDefault="00C63704" w:rsidP="009A740E">
            <w:pPr>
              <w:spacing w:before="120" w:after="120"/>
              <w:rPr>
                <w:b/>
                <w:i/>
              </w:rPr>
            </w:pPr>
            <w:r w:rsidRPr="00DC06C8">
              <w:rPr>
                <w:b/>
                <w:i/>
              </w:rPr>
              <w:t>Accepted IUBMB</w:t>
            </w:r>
            <w:r w:rsidRPr="00DC06C8">
              <w:rPr>
                <w:b/>
                <w:i/>
                <w:vertAlign w:val="superscript"/>
              </w:rPr>
              <w:footnoteReference w:id="3"/>
            </w:r>
            <w:r w:rsidRPr="00DC06C8">
              <w:rPr>
                <w:b/>
                <w:i/>
              </w:rPr>
              <w:t xml:space="preserve"> name:</w:t>
            </w:r>
          </w:p>
        </w:tc>
        <w:tc>
          <w:tcPr>
            <w:tcW w:w="5941" w:type="dxa"/>
          </w:tcPr>
          <w:p w14:paraId="7388CD8F" w14:textId="77777777" w:rsidR="00C63704" w:rsidRDefault="00C63704" w:rsidP="009A740E">
            <w:pPr>
              <w:spacing w:before="120" w:after="120"/>
            </w:pPr>
            <w:r w:rsidRPr="008A48B2">
              <w:rPr>
                <w:sz w:val="24"/>
                <w:lang w:eastAsia="en-GB"/>
              </w:rPr>
              <w:t>beta</w:t>
            </w:r>
            <w:r w:rsidRPr="008A48B2">
              <w:rPr>
                <w:rFonts w:eastAsia="Times New Roman"/>
                <w:sz w:val="24"/>
                <w:lang w:val="en-GB" w:eastAsia="en-GB"/>
              </w:rPr>
              <w:t>-</w:t>
            </w:r>
            <w:r w:rsidRPr="008A48B2">
              <w:rPr>
                <w:lang w:val="en-GB"/>
              </w:rPr>
              <w:t>fructofuranosidase</w:t>
            </w:r>
          </w:p>
          <w:p w14:paraId="6242D2EB" w14:textId="77777777" w:rsidR="00C63704" w:rsidRPr="00DC06C8" w:rsidRDefault="00C63704" w:rsidP="009A740E">
            <w:pPr>
              <w:spacing w:before="120" w:after="120"/>
            </w:pPr>
            <w:r>
              <w:t>β</w:t>
            </w:r>
            <w:r w:rsidRPr="008A48B2">
              <w:rPr>
                <w:rFonts w:eastAsia="Times New Roman"/>
                <w:sz w:val="24"/>
                <w:lang w:val="en-GB" w:eastAsia="en-GB"/>
              </w:rPr>
              <w:t>-</w:t>
            </w:r>
            <w:r w:rsidRPr="008A48B2">
              <w:rPr>
                <w:lang w:val="en-GB"/>
              </w:rPr>
              <w:t>fructofuranosidase</w:t>
            </w:r>
          </w:p>
        </w:tc>
      </w:tr>
      <w:tr w:rsidR="00C63704" w:rsidRPr="00DC06C8" w14:paraId="69FCE11C" w14:textId="77777777" w:rsidTr="009A740E">
        <w:tc>
          <w:tcPr>
            <w:tcW w:w="3119" w:type="dxa"/>
          </w:tcPr>
          <w:p w14:paraId="4BDC06E3" w14:textId="77777777" w:rsidR="00C63704" w:rsidRPr="00DC06C8" w:rsidRDefault="00C63704" w:rsidP="009A740E">
            <w:pPr>
              <w:spacing w:before="120" w:after="120"/>
              <w:rPr>
                <w:b/>
                <w:i/>
              </w:rPr>
            </w:pPr>
            <w:r w:rsidRPr="00DC06C8">
              <w:rPr>
                <w:b/>
                <w:i/>
              </w:rPr>
              <w:t>Systematic name:</w:t>
            </w:r>
          </w:p>
        </w:tc>
        <w:tc>
          <w:tcPr>
            <w:tcW w:w="5941" w:type="dxa"/>
          </w:tcPr>
          <w:p w14:paraId="53010A81" w14:textId="77777777" w:rsidR="00C63704" w:rsidRPr="00DC06C8" w:rsidRDefault="00C63704" w:rsidP="009A740E">
            <w:pPr>
              <w:spacing w:before="120" w:after="120"/>
            </w:pPr>
            <w:r w:rsidRPr="000146F0">
              <w:rPr>
                <w:lang w:val="en-GB"/>
              </w:rPr>
              <w:t>β-D-fructofuranoside fructohydrolase</w:t>
            </w:r>
          </w:p>
        </w:tc>
      </w:tr>
      <w:tr w:rsidR="00C63704" w:rsidRPr="00DC06C8" w14:paraId="31CE8B86" w14:textId="77777777" w:rsidTr="009A740E">
        <w:tc>
          <w:tcPr>
            <w:tcW w:w="3119" w:type="dxa"/>
          </w:tcPr>
          <w:p w14:paraId="2554DEBE" w14:textId="77777777" w:rsidR="00C63704" w:rsidRPr="00DC06C8" w:rsidRDefault="00C63704" w:rsidP="009A740E">
            <w:pPr>
              <w:spacing w:before="120" w:after="120"/>
              <w:rPr>
                <w:b/>
                <w:i/>
              </w:rPr>
            </w:pPr>
            <w:r w:rsidRPr="00DC06C8">
              <w:rPr>
                <w:b/>
                <w:i/>
              </w:rPr>
              <w:lastRenderedPageBreak/>
              <w:t>Other names:</w:t>
            </w:r>
            <w:r w:rsidRPr="00DC06C8">
              <w:rPr>
                <w:b/>
                <w:i/>
              </w:rPr>
              <w:tab/>
            </w:r>
          </w:p>
        </w:tc>
        <w:tc>
          <w:tcPr>
            <w:tcW w:w="5941" w:type="dxa"/>
          </w:tcPr>
          <w:p w14:paraId="43F1E442" w14:textId="77777777" w:rsidR="00C63704" w:rsidRPr="00DC06C8" w:rsidRDefault="00C63704" w:rsidP="009A740E">
            <w:pPr>
              <w:spacing w:before="120" w:after="120"/>
            </w:pPr>
            <w:r w:rsidRPr="000146F0">
              <w:rPr>
                <w:lang w:val="en-GB"/>
              </w:rPr>
              <w:t>invertase; saccharase; glucosucrase; β-h-fructosidase; β-fructosidase; invertin; sucrase; fructosylinvertase; alkaline invertase; acid invertase</w:t>
            </w:r>
          </w:p>
        </w:tc>
      </w:tr>
      <w:tr w:rsidR="00C63704" w:rsidRPr="00DC06C8" w14:paraId="175A0BA7" w14:textId="77777777" w:rsidTr="009A740E">
        <w:tc>
          <w:tcPr>
            <w:tcW w:w="3119" w:type="dxa"/>
          </w:tcPr>
          <w:p w14:paraId="5BCB5B76" w14:textId="77777777" w:rsidR="00C63704" w:rsidRPr="00DC06C8" w:rsidRDefault="00C63704" w:rsidP="009A740E">
            <w:pPr>
              <w:spacing w:before="120" w:after="120"/>
              <w:rPr>
                <w:b/>
                <w:i/>
              </w:rPr>
            </w:pPr>
            <w:r w:rsidRPr="00DC06C8">
              <w:rPr>
                <w:b/>
                <w:i/>
              </w:rPr>
              <w:t>EC number:</w:t>
            </w:r>
            <w:r w:rsidRPr="00DC06C8">
              <w:rPr>
                <w:b/>
                <w:i/>
              </w:rPr>
              <w:tab/>
            </w:r>
          </w:p>
        </w:tc>
        <w:tc>
          <w:tcPr>
            <w:tcW w:w="5941" w:type="dxa"/>
          </w:tcPr>
          <w:p w14:paraId="23809828" w14:textId="77777777" w:rsidR="00C63704" w:rsidRPr="00DC06C8" w:rsidRDefault="00C63704" w:rsidP="009A740E">
            <w:pPr>
              <w:spacing w:before="120" w:after="120"/>
            </w:pPr>
            <w:r w:rsidRPr="00DC06C8">
              <w:t>3.2.1.</w:t>
            </w:r>
            <w:r>
              <w:t>26</w:t>
            </w:r>
          </w:p>
        </w:tc>
      </w:tr>
      <w:tr w:rsidR="00C63704" w:rsidRPr="00DC06C8" w14:paraId="4A3F08D5" w14:textId="77777777" w:rsidTr="009A740E">
        <w:tc>
          <w:tcPr>
            <w:tcW w:w="3119" w:type="dxa"/>
          </w:tcPr>
          <w:p w14:paraId="747DC654" w14:textId="77777777" w:rsidR="00C63704" w:rsidRPr="00DC06C8" w:rsidRDefault="00C63704" w:rsidP="009A740E">
            <w:pPr>
              <w:spacing w:before="120" w:after="120"/>
              <w:rPr>
                <w:b/>
                <w:i/>
              </w:rPr>
            </w:pPr>
            <w:r w:rsidRPr="00DC06C8">
              <w:rPr>
                <w:b/>
                <w:i/>
              </w:rPr>
              <w:t>CAS</w:t>
            </w:r>
            <w:r w:rsidRPr="00DC06C8">
              <w:rPr>
                <w:b/>
                <w:i/>
                <w:vertAlign w:val="superscript"/>
              </w:rPr>
              <w:footnoteReference w:id="4"/>
            </w:r>
            <w:r w:rsidRPr="00DC06C8">
              <w:rPr>
                <w:b/>
                <w:i/>
              </w:rPr>
              <w:t xml:space="preserve"> registry number:</w:t>
            </w:r>
          </w:p>
        </w:tc>
        <w:tc>
          <w:tcPr>
            <w:tcW w:w="5941" w:type="dxa"/>
          </w:tcPr>
          <w:p w14:paraId="182E7B5B" w14:textId="77777777" w:rsidR="00C63704" w:rsidRPr="00DC06C8" w:rsidRDefault="00C63704" w:rsidP="009A740E">
            <w:pPr>
              <w:spacing w:before="120" w:after="120"/>
            </w:pPr>
            <w:r w:rsidRPr="000146F0">
              <w:t>9001-57-4</w:t>
            </w:r>
          </w:p>
        </w:tc>
      </w:tr>
      <w:tr w:rsidR="00C63704" w:rsidRPr="00DC06C8" w14:paraId="12C42847" w14:textId="77777777" w:rsidTr="009A740E">
        <w:tc>
          <w:tcPr>
            <w:tcW w:w="3119" w:type="dxa"/>
          </w:tcPr>
          <w:p w14:paraId="6F42A4C0" w14:textId="77777777" w:rsidR="00C63704" w:rsidRPr="00DC06C8" w:rsidRDefault="00C63704" w:rsidP="009A740E">
            <w:pPr>
              <w:spacing w:before="120" w:after="120"/>
              <w:rPr>
                <w:b/>
                <w:i/>
              </w:rPr>
            </w:pPr>
            <w:r w:rsidRPr="00DC06C8">
              <w:rPr>
                <w:b/>
                <w:i/>
              </w:rPr>
              <w:t>Reaction:</w:t>
            </w:r>
          </w:p>
        </w:tc>
        <w:tc>
          <w:tcPr>
            <w:tcW w:w="5941" w:type="dxa"/>
          </w:tcPr>
          <w:p w14:paraId="6AB73DA1" w14:textId="77777777" w:rsidR="00C63704" w:rsidRPr="00DC06C8" w:rsidRDefault="00C63704" w:rsidP="009A740E">
            <w:pPr>
              <w:spacing w:before="120" w:after="120"/>
            </w:pPr>
            <w:r w:rsidRPr="00DC06C8">
              <w:t xml:space="preserve">Hydrolysis of </w:t>
            </w:r>
            <w:r>
              <w:t>terminal non-reducing β-D-fructofuranoside residues in β-D-fructofuranosides</w:t>
            </w:r>
          </w:p>
        </w:tc>
      </w:tr>
      <w:tr w:rsidR="00C63704" w:rsidRPr="00DC06C8" w14:paraId="06A378A2" w14:textId="77777777" w:rsidTr="009A740E">
        <w:tc>
          <w:tcPr>
            <w:tcW w:w="3119" w:type="dxa"/>
          </w:tcPr>
          <w:p w14:paraId="0A49D6A8" w14:textId="77777777" w:rsidR="00C63704" w:rsidRPr="00DC06C8" w:rsidRDefault="00C63704" w:rsidP="009A740E">
            <w:pPr>
              <w:spacing w:before="120" w:after="120"/>
              <w:rPr>
                <w:b/>
                <w:i/>
              </w:rPr>
            </w:pPr>
            <w:r w:rsidRPr="00DC06C8">
              <w:rPr>
                <w:b/>
                <w:i/>
              </w:rPr>
              <w:t xml:space="preserve">Optimal temperature (°C), (range) </w:t>
            </w:r>
          </w:p>
        </w:tc>
        <w:tc>
          <w:tcPr>
            <w:tcW w:w="5941" w:type="dxa"/>
          </w:tcPr>
          <w:p w14:paraId="4DBC9A9C" w14:textId="77777777" w:rsidR="00C63704" w:rsidRPr="00DC06C8" w:rsidRDefault="00C63704" w:rsidP="009A740E">
            <w:pPr>
              <w:spacing w:before="120" w:after="120"/>
            </w:pPr>
            <w:r>
              <w:t xml:space="preserve">50 – 60 </w:t>
            </w:r>
          </w:p>
          <w:p w14:paraId="5784399F" w14:textId="77777777" w:rsidR="00C63704" w:rsidRPr="00DC06C8" w:rsidRDefault="00C63704" w:rsidP="009A740E">
            <w:pPr>
              <w:spacing w:before="120" w:after="120"/>
            </w:pPr>
          </w:p>
        </w:tc>
      </w:tr>
      <w:tr w:rsidR="00C63704" w:rsidRPr="00DC06C8" w14:paraId="755B1AE8" w14:textId="77777777" w:rsidTr="009A740E">
        <w:tc>
          <w:tcPr>
            <w:tcW w:w="3119" w:type="dxa"/>
          </w:tcPr>
          <w:p w14:paraId="48579998" w14:textId="77777777" w:rsidR="00C63704" w:rsidRPr="00DC06C8" w:rsidRDefault="00C63704" w:rsidP="009A740E">
            <w:pPr>
              <w:spacing w:before="120" w:after="120"/>
              <w:rPr>
                <w:b/>
                <w:i/>
              </w:rPr>
            </w:pPr>
            <w:r w:rsidRPr="00DC06C8">
              <w:rPr>
                <w:b/>
                <w:i/>
              </w:rPr>
              <w:t xml:space="preserve">Optimal pH, (range) </w:t>
            </w:r>
          </w:p>
        </w:tc>
        <w:tc>
          <w:tcPr>
            <w:tcW w:w="5941" w:type="dxa"/>
          </w:tcPr>
          <w:p w14:paraId="63AC45A4" w14:textId="77777777" w:rsidR="00C63704" w:rsidRPr="00DC06C8" w:rsidRDefault="00C63704" w:rsidP="009A740E">
            <w:pPr>
              <w:spacing w:before="120" w:after="120"/>
            </w:pPr>
            <w:r>
              <w:t xml:space="preserve">5.0 – 6.0 </w:t>
            </w:r>
          </w:p>
          <w:p w14:paraId="62F89438" w14:textId="77777777" w:rsidR="00C63704" w:rsidRPr="00DC06C8" w:rsidRDefault="00C63704" w:rsidP="009A740E">
            <w:pPr>
              <w:spacing w:before="120" w:after="120"/>
            </w:pPr>
            <w:r w:rsidRPr="00DC06C8">
              <w:t xml:space="preserve">Negligible activity </w:t>
            </w:r>
            <w:r>
              <w:t>below 3.0 and above 10.0</w:t>
            </w:r>
          </w:p>
        </w:tc>
      </w:tr>
    </w:tbl>
    <w:p w14:paraId="43242C12" w14:textId="77C5DAB1" w:rsidR="00C63704" w:rsidRPr="00DC06C8" w:rsidRDefault="00C63704" w:rsidP="00B373E9">
      <w:pPr>
        <w:pStyle w:val="Heading2"/>
      </w:pPr>
      <w:bookmarkStart w:id="19" w:name="_Toc67559427"/>
      <w:bookmarkStart w:id="20" w:name="_Toc75789513"/>
      <w:bookmarkStart w:id="21" w:name="_Toc76390762"/>
      <w:bookmarkStart w:id="22" w:name="_Toc85467267"/>
      <w:r w:rsidRPr="00DC06C8">
        <w:t>2.2</w:t>
      </w:r>
      <w:r w:rsidRPr="00DC06C8">
        <w:tab/>
        <w:t>Manufacturing process</w:t>
      </w:r>
      <w:bookmarkEnd w:id="19"/>
      <w:bookmarkEnd w:id="20"/>
      <w:bookmarkEnd w:id="21"/>
      <w:bookmarkEnd w:id="22"/>
    </w:p>
    <w:p w14:paraId="5DBB76B2" w14:textId="77777777" w:rsidR="00C63704" w:rsidRPr="00DC06C8" w:rsidRDefault="00C63704" w:rsidP="00B373E9">
      <w:pPr>
        <w:pStyle w:val="Heading3"/>
      </w:pPr>
      <w:bookmarkStart w:id="23" w:name="_Toc67559428"/>
      <w:bookmarkStart w:id="24" w:name="_Toc85467268"/>
      <w:r w:rsidRPr="00DC06C8">
        <w:t>2.2.1</w:t>
      </w:r>
      <w:r w:rsidRPr="00DC06C8">
        <w:tab/>
        <w:t>Production of the enzyme</w:t>
      </w:r>
      <w:bookmarkEnd w:id="23"/>
      <w:bookmarkEnd w:id="24"/>
    </w:p>
    <w:p w14:paraId="7BC5616D" w14:textId="77777777" w:rsidR="00C63704" w:rsidRPr="00DC06C8" w:rsidRDefault="00C63704" w:rsidP="00C63704">
      <w:pPr>
        <w:widowControl/>
        <w:autoSpaceDE w:val="0"/>
        <w:autoSpaceDN w:val="0"/>
        <w:adjustRightInd w:val="0"/>
        <w:rPr>
          <w:lang w:eastAsia="en-AU"/>
        </w:rPr>
      </w:pPr>
      <w:r w:rsidRPr="00DC06C8">
        <w:rPr>
          <w:lang w:eastAsia="en-AU"/>
        </w:rPr>
        <w:t xml:space="preserve">The enzyme is produced by a submerged fermentation process, which is the common production method of producing food enzymes. The specific processes are provided in the application which is summarised briefly here as these are very well known processes. </w:t>
      </w:r>
      <w:r>
        <w:rPr>
          <w:rFonts w:cs="Arial"/>
        </w:rPr>
        <w:t>Once fermentation is complete, t</w:t>
      </w:r>
      <w:r w:rsidRPr="00A64FF5">
        <w:rPr>
          <w:rFonts w:cs="Arial"/>
        </w:rPr>
        <w:t xml:space="preserve">he preparation is concentrated by filtration and </w:t>
      </w:r>
      <w:r>
        <w:rPr>
          <w:rFonts w:cs="Arial"/>
        </w:rPr>
        <w:t>freeze drying</w:t>
      </w:r>
      <w:r w:rsidRPr="00A64FF5">
        <w:rPr>
          <w:rFonts w:cs="Arial"/>
        </w:rPr>
        <w:t xml:space="preserve"> of the liquid enzyme preparation.</w:t>
      </w:r>
      <w:r>
        <w:rPr>
          <w:rFonts w:cs="Arial"/>
        </w:rPr>
        <w:t xml:space="preserve"> Residual amounts of soybean material, which is used as a fermentation nutrient, may remain in the final enzyme preparation.</w:t>
      </w:r>
    </w:p>
    <w:p w14:paraId="5E379FD6" w14:textId="77777777" w:rsidR="00C63704" w:rsidRPr="00DC06C8" w:rsidRDefault="00C63704" w:rsidP="00C63704">
      <w:pPr>
        <w:widowControl/>
        <w:autoSpaceDE w:val="0"/>
        <w:autoSpaceDN w:val="0"/>
        <w:adjustRightInd w:val="0"/>
        <w:rPr>
          <w:lang w:eastAsia="en-AU"/>
        </w:rPr>
      </w:pPr>
    </w:p>
    <w:p w14:paraId="16FBBDB8" w14:textId="3E46FA48" w:rsidR="00C63704" w:rsidRPr="00DC06C8" w:rsidRDefault="00C63704" w:rsidP="00C63704">
      <w:pPr>
        <w:widowControl/>
        <w:autoSpaceDE w:val="0"/>
        <w:autoSpaceDN w:val="0"/>
        <w:adjustRightInd w:val="0"/>
        <w:rPr>
          <w:lang w:eastAsia="en-AU"/>
        </w:rPr>
      </w:pPr>
      <w:r w:rsidRPr="00DC06C8">
        <w:rPr>
          <w:lang w:eastAsia="en-AU"/>
        </w:rPr>
        <w:t xml:space="preserve">The manufacturing processes ensure the production microorganism is removed from the final enzyme preparation. The final enzyme preparation is produced to ensure it complies with international purity specifications of enzymes, being </w:t>
      </w:r>
      <w:r w:rsidRPr="00DC06C8">
        <w:rPr>
          <w:rFonts w:ascii="CIDFont+F1" w:eastAsia="Calibri" w:hAnsi="CIDFont+F1" w:cs="CIDFont+F1"/>
          <w:szCs w:val="22"/>
          <w:lang w:bidi="ar-SA"/>
        </w:rPr>
        <w:t xml:space="preserve">the Joint FAO/WHO Expert Committee on Food Additives (JECFA, 2006) and the Food Chemicals Codex (FCC) (USP, </w:t>
      </w:r>
      <w:r w:rsidR="007904EE" w:rsidRPr="00DC06C8">
        <w:rPr>
          <w:rFonts w:ascii="CIDFont+F1" w:eastAsia="Calibri" w:hAnsi="CIDFont+F1" w:cs="CIDFont+F1"/>
          <w:szCs w:val="22"/>
          <w:lang w:bidi="ar-SA"/>
        </w:rPr>
        <w:t>20</w:t>
      </w:r>
      <w:r w:rsidR="007904EE">
        <w:rPr>
          <w:rFonts w:ascii="CIDFont+F1" w:eastAsia="Calibri" w:hAnsi="CIDFont+F1" w:cs="CIDFont+F1"/>
          <w:szCs w:val="22"/>
          <w:lang w:bidi="ar-SA"/>
        </w:rPr>
        <w:t>20</w:t>
      </w:r>
      <w:r w:rsidRPr="00DC06C8">
        <w:rPr>
          <w:rFonts w:ascii="CIDFont+F1" w:eastAsia="Calibri" w:hAnsi="CIDFont+F1" w:cs="CIDFont+F1"/>
          <w:szCs w:val="22"/>
          <w:lang w:bidi="ar-SA"/>
        </w:rPr>
        <w:t xml:space="preserve">) </w:t>
      </w:r>
      <w:r w:rsidRPr="00DC06C8">
        <w:rPr>
          <w:lang w:eastAsia="en-AU"/>
        </w:rPr>
        <w:t xml:space="preserve">as discussed in the next section. </w:t>
      </w:r>
    </w:p>
    <w:p w14:paraId="52AA01AD" w14:textId="77777777" w:rsidR="00C63704" w:rsidRPr="00DC06C8" w:rsidRDefault="00C63704" w:rsidP="00B373E9">
      <w:pPr>
        <w:pStyle w:val="Heading3"/>
      </w:pPr>
      <w:bookmarkStart w:id="25" w:name="_Toc67559429"/>
      <w:bookmarkStart w:id="26" w:name="_Toc85467269"/>
      <w:r w:rsidRPr="00DC06C8">
        <w:t>2.2.2</w:t>
      </w:r>
      <w:r w:rsidRPr="00DC06C8">
        <w:tab/>
        <w:t>Specifications</w:t>
      </w:r>
      <w:bookmarkEnd w:id="25"/>
      <w:bookmarkEnd w:id="26"/>
    </w:p>
    <w:p w14:paraId="5F0F2EC6" w14:textId="2D0497BB" w:rsidR="00C63704" w:rsidRPr="00DC06C8" w:rsidRDefault="00C63704" w:rsidP="00C63704">
      <w:pPr>
        <w:widowControl/>
        <w:autoSpaceDE w:val="0"/>
        <w:autoSpaceDN w:val="0"/>
        <w:adjustRightInd w:val="0"/>
        <w:rPr>
          <w:rFonts w:ascii="CIDFont+F1" w:eastAsia="Calibri" w:hAnsi="CIDFont+F1" w:cs="CIDFont+F1"/>
          <w:szCs w:val="22"/>
          <w:lang w:bidi="ar-SA"/>
        </w:rPr>
      </w:pPr>
      <w:r w:rsidRPr="00DC06C8">
        <w:rPr>
          <w:rFonts w:ascii="CIDFont+F1" w:eastAsia="Calibri" w:hAnsi="CIDFont+F1" w:cs="CIDFont+F1"/>
          <w:szCs w:val="22"/>
          <w:lang w:bidi="ar-SA"/>
        </w:rPr>
        <w:t>There are international specifications for enzyme preparations used in food production (JECFA 2006; USP 20</w:t>
      </w:r>
      <w:r w:rsidR="008326BF">
        <w:rPr>
          <w:rFonts w:ascii="CIDFont+F1" w:eastAsia="Calibri" w:hAnsi="CIDFont+F1" w:cs="CIDFont+F1"/>
          <w:szCs w:val="22"/>
          <w:lang w:bidi="ar-SA"/>
        </w:rPr>
        <w:t>20</w:t>
      </w:r>
      <w:r w:rsidRPr="00DC06C8">
        <w:rPr>
          <w:rFonts w:ascii="CIDFont+F1" w:eastAsia="Calibri" w:hAnsi="CIDFont+F1" w:cs="CIDFont+F1"/>
          <w:szCs w:val="22"/>
          <w:lang w:bidi="ar-SA"/>
        </w:rPr>
        <w:t>). Both of these specification sources are primary sources listed in section S3—2 of the Code. Enzyme preparations must meet these specifications.</w:t>
      </w:r>
    </w:p>
    <w:p w14:paraId="64825578" w14:textId="77777777" w:rsidR="00C63704" w:rsidRPr="00DC06C8" w:rsidRDefault="00C63704" w:rsidP="00C63704">
      <w:pPr>
        <w:widowControl/>
        <w:autoSpaceDE w:val="0"/>
        <w:autoSpaceDN w:val="0"/>
        <w:adjustRightInd w:val="0"/>
        <w:rPr>
          <w:rFonts w:ascii="CIDFont+F1" w:eastAsia="Calibri" w:hAnsi="CIDFont+F1" w:cs="CIDFont+F1"/>
          <w:szCs w:val="22"/>
          <w:lang w:bidi="ar-SA"/>
        </w:rPr>
      </w:pPr>
    </w:p>
    <w:p w14:paraId="7715B9E0" w14:textId="112FF1A3" w:rsidR="00C63704" w:rsidRPr="00DC06C8" w:rsidRDefault="00C63704" w:rsidP="00C63704">
      <w:pPr>
        <w:widowControl/>
        <w:autoSpaceDE w:val="0"/>
        <w:autoSpaceDN w:val="0"/>
        <w:adjustRightInd w:val="0"/>
        <w:rPr>
          <w:rFonts w:ascii="CIDFont+F1" w:eastAsia="Calibri" w:hAnsi="CIDFont+F1" w:cs="CIDFont+F1"/>
          <w:szCs w:val="22"/>
          <w:lang w:bidi="ar-SA"/>
        </w:rPr>
      </w:pPr>
      <w:r w:rsidRPr="00DC06C8">
        <w:rPr>
          <w:rFonts w:ascii="CIDFont+F1" w:eastAsia="Calibri" w:hAnsi="CIDFont+F1" w:cs="CIDFont+F1"/>
          <w:szCs w:val="22"/>
          <w:lang w:bidi="ar-SA"/>
        </w:rPr>
        <w:t xml:space="preserve">Table 2 provides a comparison of representative batch analysis of the enzyme preparation </w:t>
      </w:r>
      <w:r w:rsidR="008326BF">
        <w:rPr>
          <w:rFonts w:ascii="CIDFont+F1" w:eastAsia="Calibri" w:hAnsi="CIDFont+F1" w:cs="CIDFont+F1"/>
          <w:szCs w:val="22"/>
          <w:lang w:bidi="ar-SA"/>
        </w:rPr>
        <w:t xml:space="preserve">of this application </w:t>
      </w:r>
      <w:r w:rsidRPr="00DC06C8">
        <w:rPr>
          <w:rFonts w:ascii="CIDFont+F1" w:eastAsia="Calibri" w:hAnsi="CIDFont+F1" w:cs="CIDFont+F1"/>
          <w:szCs w:val="22"/>
          <w:lang w:bidi="ar-SA"/>
        </w:rPr>
        <w:t xml:space="preserve">with the international specifications established by JECFA and FCC, as well as those detailed in the Code (being section S3—4, as applicable). </w:t>
      </w:r>
    </w:p>
    <w:p w14:paraId="1788CC0D" w14:textId="77777777" w:rsidR="00C63704" w:rsidRPr="00DC06C8" w:rsidRDefault="00C63704" w:rsidP="00C63704">
      <w:pPr>
        <w:widowControl/>
        <w:autoSpaceDE w:val="0"/>
        <w:autoSpaceDN w:val="0"/>
        <w:adjustRightInd w:val="0"/>
        <w:rPr>
          <w:rFonts w:ascii="CIDFont+F1" w:eastAsia="Calibri" w:hAnsi="CIDFont+F1" w:cs="CIDFont+F1"/>
          <w:szCs w:val="22"/>
          <w:lang w:bidi="ar-SA"/>
        </w:rPr>
      </w:pPr>
    </w:p>
    <w:p w14:paraId="7608C3FE" w14:textId="77777777" w:rsidR="00C63704" w:rsidRPr="00DC06C8" w:rsidRDefault="00C63704" w:rsidP="00C63704">
      <w:pPr>
        <w:keepNext/>
        <w:keepLines/>
        <w:widowControl/>
        <w:rPr>
          <w:rFonts w:eastAsia="Calibri" w:cs="Arial"/>
          <w:b/>
          <w:lang w:bidi="ar-SA"/>
        </w:rPr>
      </w:pPr>
      <w:r w:rsidRPr="00DC06C8">
        <w:rPr>
          <w:rFonts w:eastAsia="Calibri" w:cs="Arial"/>
          <w:b/>
          <w:lang w:bidi="ar-SA"/>
        </w:rPr>
        <w:lastRenderedPageBreak/>
        <w:t>Table 2: Product specifications for commercial enzyme preparation</w:t>
      </w:r>
    </w:p>
    <w:p w14:paraId="4953ED18" w14:textId="77777777" w:rsidR="00C63704" w:rsidRPr="00DC06C8" w:rsidRDefault="00C63704" w:rsidP="00C63704">
      <w:pPr>
        <w:keepNext/>
        <w:keepLines/>
        <w:widowControl/>
        <w:autoSpaceDE w:val="0"/>
        <w:autoSpaceDN w:val="0"/>
        <w:adjustRightInd w:val="0"/>
        <w:rPr>
          <w:rFonts w:ascii="CIDFont+F1" w:eastAsia="Calibri" w:hAnsi="CIDFont+F1" w:cs="CIDFont+F1"/>
          <w:szCs w:val="22"/>
          <w:lang w:bidi="ar-SA"/>
        </w:rPr>
      </w:pPr>
    </w:p>
    <w:tbl>
      <w:tblPr>
        <w:tblStyle w:val="TableGrid2"/>
        <w:tblW w:w="9209" w:type="dxa"/>
        <w:jc w:val="center"/>
        <w:tblLook w:val="04A0" w:firstRow="1" w:lastRow="0" w:firstColumn="1" w:lastColumn="0" w:noHBand="0" w:noVBand="1"/>
        <w:tblCaption w:val="Table 2"/>
        <w:tblDescription w:val="Enzyme specifications comparision to JECFA, Food Chemicals Codex and relevant Code criteria: lead, arsenic, cadmium, mercury, total coliforms, salmonella, enteropathic E. coli, antimicrobial activity"/>
      </w:tblPr>
      <w:tblGrid>
        <w:gridCol w:w="2340"/>
        <w:gridCol w:w="2191"/>
        <w:gridCol w:w="1354"/>
        <w:gridCol w:w="1609"/>
        <w:gridCol w:w="1715"/>
      </w:tblGrid>
      <w:tr w:rsidR="00C63704" w:rsidRPr="00DC06C8" w14:paraId="53EE1861" w14:textId="77777777" w:rsidTr="009A740E">
        <w:trPr>
          <w:jc w:val="center"/>
        </w:trPr>
        <w:tc>
          <w:tcPr>
            <w:tcW w:w="2340" w:type="dxa"/>
            <w:vMerge w:val="restart"/>
            <w:vAlign w:val="center"/>
          </w:tcPr>
          <w:p w14:paraId="33BB9B72" w14:textId="77777777" w:rsidR="00C63704" w:rsidRPr="00DC06C8" w:rsidRDefault="00C63704" w:rsidP="009A740E">
            <w:pPr>
              <w:keepNext/>
              <w:keepLines/>
              <w:widowControl/>
              <w:autoSpaceDE w:val="0"/>
              <w:autoSpaceDN w:val="0"/>
              <w:adjustRightInd w:val="0"/>
              <w:jc w:val="center"/>
              <w:rPr>
                <w:rFonts w:ascii="CIDFont+F1" w:hAnsi="CIDFont+F1" w:cs="CIDFont+F3"/>
                <w:b/>
                <w:szCs w:val="22"/>
                <w:lang w:bidi="ar-SA"/>
              </w:rPr>
            </w:pPr>
            <w:r w:rsidRPr="00DC06C8">
              <w:rPr>
                <w:rFonts w:ascii="CIDFont+F1" w:hAnsi="CIDFont+F1" w:cs="CIDFont+F3"/>
                <w:b/>
                <w:szCs w:val="22"/>
                <w:lang w:bidi="ar-SA"/>
              </w:rPr>
              <w:t>Analysis</w:t>
            </w:r>
          </w:p>
        </w:tc>
        <w:tc>
          <w:tcPr>
            <w:tcW w:w="2191" w:type="dxa"/>
            <w:vMerge w:val="restart"/>
            <w:vAlign w:val="center"/>
          </w:tcPr>
          <w:p w14:paraId="3F472334" w14:textId="77777777" w:rsidR="00C63704" w:rsidRPr="00DC06C8" w:rsidRDefault="00C63704" w:rsidP="009A740E">
            <w:pPr>
              <w:keepNext/>
              <w:keepLines/>
              <w:widowControl/>
              <w:autoSpaceDE w:val="0"/>
              <w:autoSpaceDN w:val="0"/>
              <w:adjustRightInd w:val="0"/>
              <w:jc w:val="center"/>
              <w:rPr>
                <w:rFonts w:ascii="CIDFont+F1" w:hAnsi="CIDFont+F1" w:cs="CIDFont+F3"/>
                <w:b/>
                <w:szCs w:val="22"/>
                <w:lang w:bidi="ar-SA"/>
              </w:rPr>
            </w:pPr>
            <w:r w:rsidRPr="00DC06C8">
              <w:rPr>
                <w:rFonts w:ascii="CIDFont+F1" w:hAnsi="CIDFont+F1" w:cs="CIDFont+F3"/>
                <w:b/>
                <w:szCs w:val="22"/>
                <w:lang w:bidi="ar-SA"/>
              </w:rPr>
              <w:t>Enzyme batch analysis</w:t>
            </w:r>
          </w:p>
        </w:tc>
        <w:tc>
          <w:tcPr>
            <w:tcW w:w="4678" w:type="dxa"/>
            <w:gridSpan w:val="3"/>
            <w:vAlign w:val="center"/>
          </w:tcPr>
          <w:p w14:paraId="271E63F9" w14:textId="77777777" w:rsidR="00C63704" w:rsidRPr="00DC06C8" w:rsidRDefault="00C63704" w:rsidP="009A740E">
            <w:pPr>
              <w:keepNext/>
              <w:keepLines/>
              <w:widowControl/>
              <w:jc w:val="center"/>
              <w:rPr>
                <w:rFonts w:ascii="CIDFont+F1" w:hAnsi="CIDFont+F1"/>
                <w:b/>
                <w:szCs w:val="22"/>
              </w:rPr>
            </w:pPr>
            <w:r w:rsidRPr="00DC06C8">
              <w:rPr>
                <w:rFonts w:ascii="CIDFont+F1" w:hAnsi="CIDFont+F1"/>
                <w:b/>
                <w:szCs w:val="22"/>
              </w:rPr>
              <w:t>Specifications</w:t>
            </w:r>
          </w:p>
        </w:tc>
      </w:tr>
      <w:tr w:rsidR="00C63704" w:rsidRPr="00DC06C8" w14:paraId="05971670" w14:textId="77777777" w:rsidTr="009A740E">
        <w:trPr>
          <w:jc w:val="center"/>
        </w:trPr>
        <w:tc>
          <w:tcPr>
            <w:tcW w:w="2340" w:type="dxa"/>
            <w:vMerge/>
            <w:vAlign w:val="center"/>
          </w:tcPr>
          <w:p w14:paraId="702A21AB" w14:textId="77777777" w:rsidR="00C63704" w:rsidRPr="00DC06C8" w:rsidRDefault="00C63704" w:rsidP="009A740E">
            <w:pPr>
              <w:keepNext/>
              <w:keepLines/>
              <w:widowControl/>
              <w:autoSpaceDE w:val="0"/>
              <w:autoSpaceDN w:val="0"/>
              <w:adjustRightInd w:val="0"/>
              <w:jc w:val="center"/>
              <w:rPr>
                <w:rFonts w:ascii="CIDFont+F1" w:hAnsi="CIDFont+F1" w:cs="CIDFont+F1"/>
                <w:b/>
                <w:szCs w:val="22"/>
                <w:lang w:bidi="ar-SA"/>
              </w:rPr>
            </w:pPr>
          </w:p>
        </w:tc>
        <w:tc>
          <w:tcPr>
            <w:tcW w:w="2191" w:type="dxa"/>
            <w:vMerge/>
            <w:vAlign w:val="center"/>
          </w:tcPr>
          <w:p w14:paraId="1B5A948F" w14:textId="77777777" w:rsidR="00C63704" w:rsidRPr="00DC06C8" w:rsidRDefault="00C63704" w:rsidP="009A740E">
            <w:pPr>
              <w:keepNext/>
              <w:keepLines/>
              <w:widowControl/>
              <w:autoSpaceDE w:val="0"/>
              <w:autoSpaceDN w:val="0"/>
              <w:adjustRightInd w:val="0"/>
              <w:jc w:val="center"/>
              <w:rPr>
                <w:rFonts w:ascii="CIDFont+F1" w:hAnsi="CIDFont+F1" w:cs="CIDFont+F1"/>
                <w:b/>
                <w:szCs w:val="22"/>
                <w:lang w:bidi="ar-SA"/>
              </w:rPr>
            </w:pPr>
          </w:p>
        </w:tc>
        <w:tc>
          <w:tcPr>
            <w:tcW w:w="1354" w:type="dxa"/>
            <w:vAlign w:val="center"/>
          </w:tcPr>
          <w:p w14:paraId="7D01FA1A" w14:textId="77777777" w:rsidR="00C63704" w:rsidRPr="00DC06C8" w:rsidRDefault="00C63704" w:rsidP="009A740E">
            <w:pPr>
              <w:keepNext/>
              <w:keepLines/>
              <w:widowControl/>
              <w:autoSpaceDE w:val="0"/>
              <w:autoSpaceDN w:val="0"/>
              <w:adjustRightInd w:val="0"/>
              <w:jc w:val="center"/>
              <w:rPr>
                <w:rFonts w:ascii="CIDFont+F1" w:hAnsi="CIDFont+F1" w:cs="CIDFont+F1"/>
                <w:b/>
                <w:szCs w:val="22"/>
                <w:lang w:bidi="ar-SA"/>
              </w:rPr>
            </w:pPr>
            <w:r w:rsidRPr="00DC06C8">
              <w:rPr>
                <w:rFonts w:ascii="CIDFont+F1" w:hAnsi="CIDFont+F1" w:cs="CIDFont+F3"/>
                <w:b/>
                <w:szCs w:val="22"/>
                <w:lang w:bidi="ar-SA"/>
              </w:rPr>
              <w:t>JECFA</w:t>
            </w:r>
          </w:p>
        </w:tc>
        <w:tc>
          <w:tcPr>
            <w:tcW w:w="1609" w:type="dxa"/>
            <w:vAlign w:val="center"/>
          </w:tcPr>
          <w:p w14:paraId="4FE4B493" w14:textId="77777777" w:rsidR="00C63704" w:rsidRPr="00DC06C8" w:rsidRDefault="00C63704" w:rsidP="009A740E">
            <w:pPr>
              <w:keepNext/>
              <w:keepLines/>
              <w:widowControl/>
              <w:autoSpaceDE w:val="0"/>
              <w:autoSpaceDN w:val="0"/>
              <w:adjustRightInd w:val="0"/>
              <w:jc w:val="center"/>
              <w:rPr>
                <w:rFonts w:ascii="CIDFont+F1" w:hAnsi="CIDFont+F1" w:cs="CIDFont+F3"/>
                <w:b/>
                <w:szCs w:val="22"/>
                <w:lang w:bidi="ar-SA"/>
              </w:rPr>
            </w:pPr>
            <w:r w:rsidRPr="00DC06C8">
              <w:rPr>
                <w:rFonts w:ascii="CIDFont+F1" w:hAnsi="CIDFont+F1" w:cs="CIDFont+F3"/>
                <w:b/>
                <w:szCs w:val="22"/>
                <w:lang w:bidi="ar-SA"/>
              </w:rPr>
              <w:t>Food Chemicals Codex</w:t>
            </w:r>
          </w:p>
        </w:tc>
        <w:tc>
          <w:tcPr>
            <w:tcW w:w="1715" w:type="dxa"/>
            <w:vAlign w:val="center"/>
          </w:tcPr>
          <w:p w14:paraId="13F0526F" w14:textId="77777777" w:rsidR="00C63704" w:rsidRPr="00DC06C8" w:rsidRDefault="00C63704" w:rsidP="009A740E">
            <w:pPr>
              <w:keepNext/>
              <w:keepLines/>
              <w:widowControl/>
              <w:autoSpaceDE w:val="0"/>
              <w:autoSpaceDN w:val="0"/>
              <w:adjustRightInd w:val="0"/>
              <w:jc w:val="center"/>
              <w:rPr>
                <w:rFonts w:ascii="CIDFont+F1" w:hAnsi="CIDFont+F1" w:cs="CIDFont+F1"/>
                <w:szCs w:val="22"/>
                <w:lang w:bidi="ar-SA"/>
              </w:rPr>
            </w:pPr>
            <w:r w:rsidRPr="00DC06C8">
              <w:rPr>
                <w:rFonts w:ascii="CIDFont+F1" w:hAnsi="CIDFont+F1"/>
                <w:b/>
                <w:szCs w:val="22"/>
              </w:rPr>
              <w:t>Code</w:t>
            </w:r>
          </w:p>
        </w:tc>
      </w:tr>
      <w:tr w:rsidR="00C63704" w:rsidRPr="00DC06C8" w14:paraId="49CADFF5" w14:textId="77777777" w:rsidTr="009A740E">
        <w:trPr>
          <w:jc w:val="center"/>
        </w:trPr>
        <w:tc>
          <w:tcPr>
            <w:tcW w:w="2340" w:type="dxa"/>
          </w:tcPr>
          <w:p w14:paraId="10447D50" w14:textId="77777777" w:rsidR="00C63704" w:rsidRPr="00DC06C8" w:rsidRDefault="00C63704" w:rsidP="009A740E">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Lead (mg/kg)</w:t>
            </w:r>
          </w:p>
        </w:tc>
        <w:tc>
          <w:tcPr>
            <w:tcW w:w="2191" w:type="dxa"/>
          </w:tcPr>
          <w:p w14:paraId="2E882980" w14:textId="77777777" w:rsidR="00C63704" w:rsidRPr="00DC06C8" w:rsidRDefault="00C63704" w:rsidP="009A740E">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 5</w:t>
            </w:r>
            <w:r>
              <w:rPr>
                <w:rFonts w:ascii="CIDFont+F1" w:hAnsi="CIDFont+F1" w:cs="CIDFont+F1"/>
                <w:szCs w:val="22"/>
                <w:lang w:bidi="ar-SA"/>
              </w:rPr>
              <w:t>,</w:t>
            </w:r>
            <w:r w:rsidRPr="00DC06C8">
              <w:rPr>
                <w:rFonts w:ascii="CIDFont+F1" w:hAnsi="CIDFont+F1" w:cs="CIDFont+F1"/>
                <w:szCs w:val="22"/>
                <w:lang w:bidi="ar-SA"/>
              </w:rPr>
              <w:t xml:space="preserve"> ≤ 5</w:t>
            </w:r>
            <w:r>
              <w:rPr>
                <w:rFonts w:ascii="CIDFont+F1" w:hAnsi="CIDFont+F1" w:cs="CIDFont+F1"/>
                <w:szCs w:val="22"/>
                <w:lang w:bidi="ar-SA"/>
              </w:rPr>
              <w:t>,</w:t>
            </w:r>
            <w:r w:rsidRPr="00DC06C8">
              <w:rPr>
                <w:rFonts w:ascii="CIDFont+F1" w:hAnsi="CIDFont+F1" w:cs="CIDFont+F1"/>
                <w:szCs w:val="22"/>
                <w:lang w:bidi="ar-SA"/>
              </w:rPr>
              <w:t xml:space="preserve"> ≤ 5</w:t>
            </w:r>
            <w:r>
              <w:rPr>
                <w:rFonts w:ascii="CIDFont+F1" w:hAnsi="CIDFont+F1" w:cs="CIDFont+F1"/>
                <w:szCs w:val="22"/>
                <w:lang w:bidi="ar-SA"/>
              </w:rPr>
              <w:t>,</w:t>
            </w:r>
            <w:r w:rsidRPr="00DC06C8">
              <w:rPr>
                <w:rFonts w:ascii="CIDFont+F1" w:hAnsi="CIDFont+F1" w:cs="CIDFont+F1"/>
                <w:szCs w:val="22"/>
                <w:lang w:bidi="ar-SA"/>
              </w:rPr>
              <w:t xml:space="preserve"> ≤ 5</w:t>
            </w:r>
          </w:p>
        </w:tc>
        <w:tc>
          <w:tcPr>
            <w:tcW w:w="1354" w:type="dxa"/>
          </w:tcPr>
          <w:p w14:paraId="38ACD942" w14:textId="77777777" w:rsidR="00C63704" w:rsidRPr="00DC06C8" w:rsidRDefault="00C63704" w:rsidP="009A740E">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 5</w:t>
            </w:r>
          </w:p>
        </w:tc>
        <w:tc>
          <w:tcPr>
            <w:tcW w:w="1609" w:type="dxa"/>
          </w:tcPr>
          <w:p w14:paraId="5A1796EF" w14:textId="77777777" w:rsidR="00C63704" w:rsidRPr="00DC06C8" w:rsidRDefault="00C63704" w:rsidP="009A740E">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 5</w:t>
            </w:r>
          </w:p>
        </w:tc>
        <w:tc>
          <w:tcPr>
            <w:tcW w:w="1715" w:type="dxa"/>
          </w:tcPr>
          <w:p w14:paraId="5606467C" w14:textId="77777777" w:rsidR="00C63704" w:rsidRPr="00DC06C8" w:rsidRDefault="00C63704" w:rsidP="009A740E">
            <w:pPr>
              <w:keepNext/>
              <w:keepLines/>
              <w:widowControl/>
              <w:autoSpaceDE w:val="0"/>
              <w:autoSpaceDN w:val="0"/>
              <w:adjustRightInd w:val="0"/>
              <w:rPr>
                <w:rFonts w:ascii="CIDFont+F1" w:hAnsi="CIDFont+F1" w:cs="CIDFont+F1"/>
                <w:szCs w:val="22"/>
                <w:vertAlign w:val="superscript"/>
                <w:lang w:bidi="ar-SA"/>
              </w:rPr>
            </w:pPr>
            <w:r w:rsidRPr="00DC06C8">
              <w:rPr>
                <w:rFonts w:ascii="CIDFont+F1" w:hAnsi="CIDFont+F1" w:cs="CIDFont+F1"/>
                <w:szCs w:val="22"/>
                <w:lang w:bidi="ar-SA"/>
              </w:rPr>
              <w:t>≤2</w:t>
            </w:r>
            <w:r w:rsidRPr="00DC06C8">
              <w:rPr>
                <w:rFonts w:ascii="CIDFont+F1" w:hAnsi="CIDFont+F1" w:cs="CIDFont+F1"/>
                <w:szCs w:val="22"/>
                <w:vertAlign w:val="superscript"/>
                <w:lang w:bidi="ar-SA"/>
              </w:rPr>
              <w:t>1</w:t>
            </w:r>
          </w:p>
        </w:tc>
      </w:tr>
      <w:tr w:rsidR="00C63704" w:rsidRPr="00DC06C8" w14:paraId="7EA61A81" w14:textId="77777777" w:rsidTr="009A740E">
        <w:trPr>
          <w:jc w:val="center"/>
        </w:trPr>
        <w:tc>
          <w:tcPr>
            <w:tcW w:w="2340" w:type="dxa"/>
          </w:tcPr>
          <w:p w14:paraId="06FE9CD7" w14:textId="77777777" w:rsidR="00C63704" w:rsidRPr="00DC06C8" w:rsidRDefault="00C63704" w:rsidP="009A740E">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Arsenic (mg/kg)</w:t>
            </w:r>
          </w:p>
        </w:tc>
        <w:tc>
          <w:tcPr>
            <w:tcW w:w="2191" w:type="dxa"/>
          </w:tcPr>
          <w:p w14:paraId="70D3879E" w14:textId="77777777" w:rsidR="00C63704" w:rsidRPr="00DC06C8" w:rsidRDefault="00C63704" w:rsidP="009A740E">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≤1</w:t>
            </w:r>
            <w:r>
              <w:rPr>
                <w:rFonts w:ascii="CIDFont+F1" w:hAnsi="CIDFont+F1" w:cs="CIDFont+F1"/>
                <w:szCs w:val="22"/>
                <w:lang w:bidi="ar-SA"/>
              </w:rPr>
              <w:t xml:space="preserve">, </w:t>
            </w:r>
            <w:r w:rsidRPr="00DC06C8">
              <w:rPr>
                <w:rFonts w:ascii="CIDFont+F1" w:hAnsi="CIDFont+F1" w:cs="CIDFont+F1"/>
                <w:szCs w:val="22"/>
                <w:lang w:bidi="ar-SA"/>
              </w:rPr>
              <w:t>≤1</w:t>
            </w:r>
            <w:r>
              <w:rPr>
                <w:rFonts w:ascii="CIDFont+F1" w:hAnsi="CIDFont+F1" w:cs="CIDFont+F1"/>
                <w:szCs w:val="22"/>
                <w:lang w:bidi="ar-SA"/>
              </w:rPr>
              <w:t>,</w:t>
            </w:r>
            <w:r w:rsidRPr="00DC06C8">
              <w:rPr>
                <w:rFonts w:ascii="CIDFont+F1" w:hAnsi="CIDFont+F1" w:cs="CIDFont+F1"/>
                <w:szCs w:val="22"/>
                <w:lang w:bidi="ar-SA"/>
              </w:rPr>
              <w:t xml:space="preserve"> ≤1</w:t>
            </w:r>
            <w:r>
              <w:rPr>
                <w:rFonts w:ascii="CIDFont+F1" w:hAnsi="CIDFont+F1" w:cs="CIDFont+F1"/>
                <w:szCs w:val="22"/>
                <w:lang w:bidi="ar-SA"/>
              </w:rPr>
              <w:t>,</w:t>
            </w:r>
            <w:r w:rsidRPr="00DC06C8">
              <w:rPr>
                <w:rFonts w:ascii="CIDFont+F1" w:hAnsi="CIDFont+F1" w:cs="CIDFont+F1"/>
                <w:szCs w:val="22"/>
                <w:lang w:bidi="ar-SA"/>
              </w:rPr>
              <w:t xml:space="preserve"> ≤1</w:t>
            </w:r>
          </w:p>
        </w:tc>
        <w:tc>
          <w:tcPr>
            <w:tcW w:w="1354" w:type="dxa"/>
          </w:tcPr>
          <w:p w14:paraId="7E06BC58" w14:textId="77777777" w:rsidR="00C63704" w:rsidRPr="00DC06C8" w:rsidRDefault="00C63704" w:rsidP="009A740E">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w:t>
            </w:r>
          </w:p>
        </w:tc>
        <w:tc>
          <w:tcPr>
            <w:tcW w:w="1609" w:type="dxa"/>
          </w:tcPr>
          <w:p w14:paraId="63747739" w14:textId="77777777" w:rsidR="00C63704" w:rsidRPr="00DC06C8" w:rsidRDefault="00C63704" w:rsidP="009A740E">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w:t>
            </w:r>
          </w:p>
        </w:tc>
        <w:tc>
          <w:tcPr>
            <w:tcW w:w="1715" w:type="dxa"/>
          </w:tcPr>
          <w:p w14:paraId="060EBE45" w14:textId="77777777" w:rsidR="00C63704" w:rsidRPr="00DC06C8" w:rsidRDefault="00C63704" w:rsidP="009A740E">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≤1</w:t>
            </w:r>
          </w:p>
        </w:tc>
      </w:tr>
      <w:tr w:rsidR="00C63704" w:rsidRPr="00DC06C8" w14:paraId="4C1B41BB" w14:textId="77777777" w:rsidTr="009A740E">
        <w:trPr>
          <w:jc w:val="center"/>
        </w:trPr>
        <w:tc>
          <w:tcPr>
            <w:tcW w:w="2340" w:type="dxa"/>
          </w:tcPr>
          <w:p w14:paraId="4553C4F8" w14:textId="77777777" w:rsidR="00C63704" w:rsidRPr="00DC06C8" w:rsidRDefault="00C63704" w:rsidP="009A740E">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Cadmium (mg/kg)</w:t>
            </w:r>
          </w:p>
        </w:tc>
        <w:tc>
          <w:tcPr>
            <w:tcW w:w="2191" w:type="dxa"/>
          </w:tcPr>
          <w:p w14:paraId="39B82C8B" w14:textId="77777777" w:rsidR="00C63704" w:rsidRPr="00DC06C8" w:rsidRDefault="00C63704" w:rsidP="009A740E">
            <w:pPr>
              <w:keepNext/>
              <w:keepLines/>
              <w:widowControl/>
              <w:autoSpaceDE w:val="0"/>
              <w:autoSpaceDN w:val="0"/>
              <w:adjustRightInd w:val="0"/>
              <w:rPr>
                <w:rFonts w:ascii="CIDFont+F1" w:hAnsi="CIDFont+F1" w:cs="CIDFont+F1"/>
                <w:szCs w:val="22"/>
                <w:lang w:bidi="ar-SA"/>
              </w:rPr>
            </w:pPr>
            <w:r>
              <w:rPr>
                <w:rFonts w:ascii="CIDFont+F1" w:hAnsi="CIDFont+F1" w:cs="CIDFont+F1"/>
                <w:szCs w:val="22"/>
                <w:lang w:bidi="ar-SA"/>
              </w:rPr>
              <w:t>0.03, 0.03, 0.02, 0.03</w:t>
            </w:r>
          </w:p>
        </w:tc>
        <w:tc>
          <w:tcPr>
            <w:tcW w:w="1354" w:type="dxa"/>
          </w:tcPr>
          <w:p w14:paraId="6991B127" w14:textId="77777777" w:rsidR="00C63704" w:rsidRPr="00DC06C8" w:rsidRDefault="00C63704" w:rsidP="009A740E">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w:t>
            </w:r>
          </w:p>
        </w:tc>
        <w:tc>
          <w:tcPr>
            <w:tcW w:w="1609" w:type="dxa"/>
          </w:tcPr>
          <w:p w14:paraId="15460B26" w14:textId="77777777" w:rsidR="00C63704" w:rsidRPr="00DC06C8" w:rsidRDefault="00C63704" w:rsidP="009A740E">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w:t>
            </w:r>
          </w:p>
        </w:tc>
        <w:tc>
          <w:tcPr>
            <w:tcW w:w="1715" w:type="dxa"/>
          </w:tcPr>
          <w:p w14:paraId="3B266C73" w14:textId="77777777" w:rsidR="00C63704" w:rsidRPr="00DC06C8" w:rsidRDefault="00C63704" w:rsidP="009A740E">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≤1</w:t>
            </w:r>
          </w:p>
        </w:tc>
      </w:tr>
      <w:tr w:rsidR="00C63704" w:rsidRPr="00DC06C8" w14:paraId="2EB53FEF" w14:textId="77777777" w:rsidTr="009A740E">
        <w:trPr>
          <w:jc w:val="center"/>
        </w:trPr>
        <w:tc>
          <w:tcPr>
            <w:tcW w:w="2340" w:type="dxa"/>
          </w:tcPr>
          <w:p w14:paraId="4CB5877D" w14:textId="77777777" w:rsidR="00C63704" w:rsidRPr="00DC06C8" w:rsidRDefault="00C63704" w:rsidP="009A740E">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Mercury (mg/kg)</w:t>
            </w:r>
          </w:p>
        </w:tc>
        <w:tc>
          <w:tcPr>
            <w:tcW w:w="2191" w:type="dxa"/>
          </w:tcPr>
          <w:p w14:paraId="6B1B971B" w14:textId="77777777" w:rsidR="00C63704" w:rsidRPr="00DC06C8" w:rsidRDefault="00C63704" w:rsidP="009A740E">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w:t>
            </w:r>
            <w:r>
              <w:rPr>
                <w:rFonts w:ascii="CIDFont+F1" w:hAnsi="CIDFont+F1" w:cs="CIDFont+F1"/>
                <w:szCs w:val="22"/>
                <w:lang w:bidi="ar-SA"/>
              </w:rPr>
              <w:t>0.0</w:t>
            </w:r>
            <w:r w:rsidRPr="00DC06C8">
              <w:rPr>
                <w:rFonts w:ascii="CIDFont+F1" w:hAnsi="CIDFont+F1" w:cs="CIDFont+F1"/>
                <w:szCs w:val="22"/>
                <w:lang w:bidi="ar-SA"/>
              </w:rPr>
              <w:t>1</w:t>
            </w:r>
            <w:r>
              <w:rPr>
                <w:rFonts w:ascii="CIDFont+F1" w:hAnsi="CIDFont+F1" w:cs="CIDFont+F1"/>
                <w:szCs w:val="22"/>
                <w:lang w:bidi="ar-SA"/>
              </w:rPr>
              <w:t>,</w:t>
            </w:r>
            <w:r w:rsidRPr="00DC06C8">
              <w:rPr>
                <w:rFonts w:ascii="CIDFont+F1" w:hAnsi="CIDFont+F1" w:cs="CIDFont+F1"/>
                <w:szCs w:val="22"/>
                <w:lang w:bidi="ar-SA"/>
              </w:rPr>
              <w:t xml:space="preserve"> ≤</w:t>
            </w:r>
            <w:r>
              <w:rPr>
                <w:rFonts w:ascii="CIDFont+F1" w:hAnsi="CIDFont+F1" w:cs="CIDFont+F1"/>
                <w:szCs w:val="22"/>
                <w:lang w:bidi="ar-SA"/>
              </w:rPr>
              <w:t>0.0</w:t>
            </w:r>
            <w:r w:rsidRPr="00DC06C8">
              <w:rPr>
                <w:rFonts w:ascii="CIDFont+F1" w:hAnsi="CIDFont+F1" w:cs="CIDFont+F1"/>
                <w:szCs w:val="22"/>
                <w:lang w:bidi="ar-SA"/>
              </w:rPr>
              <w:t>1</w:t>
            </w:r>
            <w:r>
              <w:rPr>
                <w:rFonts w:ascii="CIDFont+F1" w:hAnsi="CIDFont+F1" w:cs="CIDFont+F1"/>
                <w:szCs w:val="22"/>
                <w:lang w:bidi="ar-SA"/>
              </w:rPr>
              <w:t>,</w:t>
            </w:r>
            <w:r w:rsidRPr="00DC06C8">
              <w:rPr>
                <w:rFonts w:ascii="CIDFont+F1" w:hAnsi="CIDFont+F1" w:cs="CIDFont+F1"/>
                <w:szCs w:val="22"/>
                <w:lang w:bidi="ar-SA"/>
              </w:rPr>
              <w:t xml:space="preserve"> ≤</w:t>
            </w:r>
            <w:r>
              <w:rPr>
                <w:rFonts w:ascii="CIDFont+F1" w:hAnsi="CIDFont+F1" w:cs="CIDFont+F1"/>
                <w:szCs w:val="22"/>
                <w:lang w:bidi="ar-SA"/>
              </w:rPr>
              <w:t>0.0</w:t>
            </w:r>
            <w:r w:rsidRPr="00DC06C8">
              <w:rPr>
                <w:rFonts w:ascii="CIDFont+F1" w:hAnsi="CIDFont+F1" w:cs="CIDFont+F1"/>
                <w:szCs w:val="22"/>
                <w:lang w:bidi="ar-SA"/>
              </w:rPr>
              <w:t>1</w:t>
            </w:r>
            <w:r>
              <w:rPr>
                <w:rFonts w:ascii="CIDFont+F1" w:hAnsi="CIDFont+F1" w:cs="CIDFont+F1"/>
                <w:szCs w:val="22"/>
                <w:lang w:bidi="ar-SA"/>
              </w:rPr>
              <w:t>,</w:t>
            </w:r>
            <w:r w:rsidRPr="00DC06C8">
              <w:rPr>
                <w:rFonts w:ascii="CIDFont+F1" w:hAnsi="CIDFont+F1" w:cs="CIDFont+F1"/>
                <w:szCs w:val="22"/>
                <w:lang w:bidi="ar-SA"/>
              </w:rPr>
              <w:t xml:space="preserve"> ≤</w:t>
            </w:r>
            <w:r>
              <w:rPr>
                <w:rFonts w:ascii="CIDFont+F1" w:hAnsi="CIDFont+F1" w:cs="CIDFont+F1"/>
                <w:szCs w:val="22"/>
                <w:lang w:bidi="ar-SA"/>
              </w:rPr>
              <w:t>0.0</w:t>
            </w:r>
            <w:r w:rsidRPr="00DC06C8">
              <w:rPr>
                <w:rFonts w:ascii="CIDFont+F1" w:hAnsi="CIDFont+F1" w:cs="CIDFont+F1"/>
                <w:szCs w:val="22"/>
                <w:lang w:bidi="ar-SA"/>
              </w:rPr>
              <w:t>1</w:t>
            </w:r>
            <w:r>
              <w:rPr>
                <w:rFonts w:ascii="CIDFont+F1" w:hAnsi="CIDFont+F1" w:cs="CIDFont+F1"/>
                <w:szCs w:val="22"/>
                <w:lang w:bidi="ar-SA"/>
              </w:rPr>
              <w:t>,</w:t>
            </w:r>
          </w:p>
        </w:tc>
        <w:tc>
          <w:tcPr>
            <w:tcW w:w="1354" w:type="dxa"/>
          </w:tcPr>
          <w:p w14:paraId="1C80D8B4" w14:textId="77777777" w:rsidR="00C63704" w:rsidRPr="00DC06C8" w:rsidRDefault="00C63704" w:rsidP="009A740E">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w:t>
            </w:r>
          </w:p>
        </w:tc>
        <w:tc>
          <w:tcPr>
            <w:tcW w:w="1609" w:type="dxa"/>
          </w:tcPr>
          <w:p w14:paraId="16062877" w14:textId="77777777" w:rsidR="00C63704" w:rsidRPr="00DC06C8" w:rsidRDefault="00C63704" w:rsidP="009A740E">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w:t>
            </w:r>
          </w:p>
        </w:tc>
        <w:tc>
          <w:tcPr>
            <w:tcW w:w="1715" w:type="dxa"/>
          </w:tcPr>
          <w:p w14:paraId="054B241E" w14:textId="77777777" w:rsidR="00C63704" w:rsidRPr="00DC06C8" w:rsidRDefault="00C63704" w:rsidP="009A740E">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≤1</w:t>
            </w:r>
          </w:p>
        </w:tc>
      </w:tr>
      <w:tr w:rsidR="00C63704" w:rsidRPr="00DC06C8" w14:paraId="3EE8AA9E" w14:textId="77777777" w:rsidTr="009A740E">
        <w:trPr>
          <w:jc w:val="center"/>
        </w:trPr>
        <w:tc>
          <w:tcPr>
            <w:tcW w:w="2340" w:type="dxa"/>
          </w:tcPr>
          <w:p w14:paraId="7A626DAA" w14:textId="77777777" w:rsidR="00C63704" w:rsidRPr="00DC06C8" w:rsidRDefault="00C63704" w:rsidP="009A740E">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Total coliforms (cfu/g)</w:t>
            </w:r>
          </w:p>
        </w:tc>
        <w:tc>
          <w:tcPr>
            <w:tcW w:w="2191" w:type="dxa"/>
          </w:tcPr>
          <w:p w14:paraId="2D161BA7" w14:textId="77777777" w:rsidR="00C63704" w:rsidRPr="00DC06C8" w:rsidRDefault="00C63704" w:rsidP="009A740E">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&lt;30</w:t>
            </w:r>
            <w:r>
              <w:rPr>
                <w:rFonts w:ascii="CIDFont+F1" w:hAnsi="CIDFont+F1" w:cs="CIDFont+F1"/>
                <w:szCs w:val="22"/>
                <w:lang w:bidi="ar-SA"/>
              </w:rPr>
              <w:t>,</w:t>
            </w:r>
            <w:r w:rsidRPr="00DC06C8">
              <w:rPr>
                <w:rFonts w:ascii="CIDFont+F1" w:hAnsi="CIDFont+F1" w:cs="CIDFont+F1"/>
                <w:szCs w:val="22"/>
                <w:lang w:bidi="ar-SA"/>
              </w:rPr>
              <w:t>&lt;30</w:t>
            </w:r>
            <w:r>
              <w:rPr>
                <w:rFonts w:ascii="CIDFont+F1" w:hAnsi="CIDFont+F1" w:cs="CIDFont+F1"/>
                <w:szCs w:val="22"/>
                <w:lang w:bidi="ar-SA"/>
              </w:rPr>
              <w:t>,</w:t>
            </w:r>
            <w:r w:rsidRPr="00DC06C8">
              <w:rPr>
                <w:rFonts w:ascii="CIDFont+F1" w:hAnsi="CIDFont+F1" w:cs="CIDFont+F1"/>
                <w:szCs w:val="22"/>
                <w:lang w:bidi="ar-SA"/>
              </w:rPr>
              <w:t>&lt;30</w:t>
            </w:r>
            <w:r>
              <w:rPr>
                <w:rFonts w:ascii="CIDFont+F1" w:hAnsi="CIDFont+F1" w:cs="CIDFont+F1"/>
                <w:szCs w:val="22"/>
                <w:lang w:bidi="ar-SA"/>
              </w:rPr>
              <w:t>,</w:t>
            </w:r>
            <w:r w:rsidRPr="00DC06C8">
              <w:rPr>
                <w:rFonts w:ascii="CIDFont+F1" w:hAnsi="CIDFont+F1" w:cs="CIDFont+F1"/>
                <w:szCs w:val="22"/>
                <w:lang w:bidi="ar-SA"/>
              </w:rPr>
              <w:t>&lt;30</w:t>
            </w:r>
            <w:r>
              <w:rPr>
                <w:rFonts w:ascii="CIDFont+F1" w:hAnsi="CIDFont+F1" w:cs="CIDFont+F1"/>
                <w:szCs w:val="22"/>
                <w:lang w:bidi="ar-SA"/>
              </w:rPr>
              <w:t>,</w:t>
            </w:r>
          </w:p>
        </w:tc>
        <w:tc>
          <w:tcPr>
            <w:tcW w:w="1354" w:type="dxa"/>
          </w:tcPr>
          <w:p w14:paraId="442FAA1D" w14:textId="77777777" w:rsidR="00C63704" w:rsidRPr="00DC06C8" w:rsidRDefault="00C63704" w:rsidP="009A740E">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 xml:space="preserve">≤30 </w:t>
            </w:r>
          </w:p>
        </w:tc>
        <w:tc>
          <w:tcPr>
            <w:tcW w:w="1609" w:type="dxa"/>
          </w:tcPr>
          <w:p w14:paraId="739DE935" w14:textId="77777777" w:rsidR="00C63704" w:rsidRPr="00DC06C8" w:rsidRDefault="00C63704" w:rsidP="009A740E">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≤30</w:t>
            </w:r>
          </w:p>
        </w:tc>
        <w:tc>
          <w:tcPr>
            <w:tcW w:w="1715" w:type="dxa"/>
          </w:tcPr>
          <w:p w14:paraId="0C088BD2" w14:textId="77777777" w:rsidR="00C63704" w:rsidRPr="00DC06C8" w:rsidRDefault="00C63704" w:rsidP="009A740E">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w:t>
            </w:r>
          </w:p>
        </w:tc>
      </w:tr>
      <w:tr w:rsidR="00C63704" w:rsidRPr="00DC06C8" w14:paraId="5041C548" w14:textId="77777777" w:rsidTr="009A740E">
        <w:trPr>
          <w:jc w:val="center"/>
        </w:trPr>
        <w:tc>
          <w:tcPr>
            <w:tcW w:w="2340" w:type="dxa"/>
          </w:tcPr>
          <w:p w14:paraId="7EE63321" w14:textId="77777777" w:rsidR="00C63704" w:rsidRPr="00DC06C8" w:rsidRDefault="00C63704" w:rsidP="009A740E">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Salmonella (in 25 g)</w:t>
            </w:r>
          </w:p>
        </w:tc>
        <w:tc>
          <w:tcPr>
            <w:tcW w:w="2191" w:type="dxa"/>
          </w:tcPr>
          <w:p w14:paraId="604480FB" w14:textId="77777777" w:rsidR="00C63704" w:rsidRPr="00DC06C8" w:rsidRDefault="00C63704" w:rsidP="009A740E">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Negative</w:t>
            </w:r>
            <w:r>
              <w:rPr>
                <w:rFonts w:ascii="CIDFont+F1" w:hAnsi="CIDFont+F1" w:cs="CIDFont+F1"/>
                <w:szCs w:val="22"/>
                <w:lang w:bidi="ar-SA"/>
              </w:rPr>
              <w:t xml:space="preserve"> x4</w:t>
            </w:r>
          </w:p>
        </w:tc>
        <w:tc>
          <w:tcPr>
            <w:tcW w:w="1354" w:type="dxa"/>
          </w:tcPr>
          <w:p w14:paraId="3F151119" w14:textId="77777777" w:rsidR="00C63704" w:rsidRPr="00DC06C8" w:rsidRDefault="00C63704" w:rsidP="009A740E">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Absent</w:t>
            </w:r>
          </w:p>
        </w:tc>
        <w:tc>
          <w:tcPr>
            <w:tcW w:w="1609" w:type="dxa"/>
          </w:tcPr>
          <w:p w14:paraId="263DC5D9" w14:textId="77777777" w:rsidR="00C63704" w:rsidRPr="00DC06C8" w:rsidRDefault="00C63704" w:rsidP="009A740E">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Negative</w:t>
            </w:r>
          </w:p>
        </w:tc>
        <w:tc>
          <w:tcPr>
            <w:tcW w:w="1715" w:type="dxa"/>
          </w:tcPr>
          <w:p w14:paraId="2ADBE08A" w14:textId="77777777" w:rsidR="00C63704" w:rsidRPr="00DC06C8" w:rsidRDefault="00C63704" w:rsidP="009A740E">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w:t>
            </w:r>
          </w:p>
        </w:tc>
      </w:tr>
      <w:tr w:rsidR="00C63704" w:rsidRPr="00DC06C8" w14:paraId="66BA5F38" w14:textId="77777777" w:rsidTr="009A740E">
        <w:trPr>
          <w:jc w:val="center"/>
        </w:trPr>
        <w:tc>
          <w:tcPr>
            <w:tcW w:w="2340" w:type="dxa"/>
          </w:tcPr>
          <w:p w14:paraId="063A2903" w14:textId="77777777" w:rsidR="00C63704" w:rsidRPr="00DC06C8" w:rsidRDefault="00C63704" w:rsidP="009A740E">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 xml:space="preserve">Enteropathic </w:t>
            </w:r>
            <w:r w:rsidRPr="00DC06C8">
              <w:rPr>
                <w:rFonts w:ascii="CIDFont+F1" w:hAnsi="CIDFont+F1" w:cs="CIDFont+F1"/>
                <w:i/>
                <w:szCs w:val="22"/>
                <w:lang w:bidi="ar-SA"/>
              </w:rPr>
              <w:t>E. coli</w:t>
            </w:r>
            <w:r w:rsidRPr="00DC06C8">
              <w:rPr>
                <w:rFonts w:ascii="CIDFont+F1" w:hAnsi="CIDFont+F1" w:cs="CIDFont+F1"/>
                <w:szCs w:val="22"/>
                <w:lang w:bidi="ar-SA"/>
              </w:rPr>
              <w:t xml:space="preserve"> (in 25 g)</w:t>
            </w:r>
          </w:p>
        </w:tc>
        <w:tc>
          <w:tcPr>
            <w:tcW w:w="2191" w:type="dxa"/>
          </w:tcPr>
          <w:p w14:paraId="00440101" w14:textId="77777777" w:rsidR="00C63704" w:rsidRPr="00DC06C8" w:rsidRDefault="00C63704" w:rsidP="009A740E">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Negative</w:t>
            </w:r>
            <w:r>
              <w:rPr>
                <w:rFonts w:ascii="CIDFont+F1" w:hAnsi="CIDFont+F1" w:cs="CIDFont+F1"/>
                <w:szCs w:val="22"/>
                <w:lang w:bidi="ar-SA"/>
              </w:rPr>
              <w:t xml:space="preserve"> x4</w:t>
            </w:r>
          </w:p>
        </w:tc>
        <w:tc>
          <w:tcPr>
            <w:tcW w:w="1354" w:type="dxa"/>
          </w:tcPr>
          <w:p w14:paraId="4BE73D95" w14:textId="77777777" w:rsidR="00C63704" w:rsidRPr="00DC06C8" w:rsidRDefault="00C63704" w:rsidP="009A740E">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 xml:space="preserve">Absent </w:t>
            </w:r>
          </w:p>
        </w:tc>
        <w:tc>
          <w:tcPr>
            <w:tcW w:w="1609" w:type="dxa"/>
          </w:tcPr>
          <w:p w14:paraId="01325C25" w14:textId="77777777" w:rsidR="00C63704" w:rsidRPr="00DC06C8" w:rsidRDefault="00C63704" w:rsidP="009A740E">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w:t>
            </w:r>
          </w:p>
        </w:tc>
        <w:tc>
          <w:tcPr>
            <w:tcW w:w="1715" w:type="dxa"/>
          </w:tcPr>
          <w:p w14:paraId="04059F3B" w14:textId="77777777" w:rsidR="00C63704" w:rsidRPr="00DC06C8" w:rsidRDefault="00C63704" w:rsidP="009A740E">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w:t>
            </w:r>
          </w:p>
        </w:tc>
      </w:tr>
      <w:tr w:rsidR="00C63704" w:rsidRPr="00DC06C8" w14:paraId="4FF55503" w14:textId="77777777" w:rsidTr="009A740E">
        <w:trPr>
          <w:jc w:val="center"/>
        </w:trPr>
        <w:tc>
          <w:tcPr>
            <w:tcW w:w="2340" w:type="dxa"/>
          </w:tcPr>
          <w:p w14:paraId="16E3C2F1" w14:textId="77777777" w:rsidR="00C63704" w:rsidRPr="00DC06C8" w:rsidRDefault="00C63704" w:rsidP="009A740E">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 xml:space="preserve">Antimicrobial activity </w:t>
            </w:r>
          </w:p>
        </w:tc>
        <w:tc>
          <w:tcPr>
            <w:tcW w:w="2191" w:type="dxa"/>
          </w:tcPr>
          <w:p w14:paraId="3ABA58BD" w14:textId="77777777" w:rsidR="00C63704" w:rsidRPr="00DC06C8" w:rsidRDefault="00C63704" w:rsidP="009A740E">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Negative</w:t>
            </w:r>
            <w:r>
              <w:rPr>
                <w:rFonts w:ascii="CIDFont+F1" w:hAnsi="CIDFont+F1" w:cs="CIDFont+F1"/>
                <w:szCs w:val="22"/>
                <w:lang w:bidi="ar-SA"/>
              </w:rPr>
              <w:t xml:space="preserve"> x4</w:t>
            </w:r>
          </w:p>
        </w:tc>
        <w:tc>
          <w:tcPr>
            <w:tcW w:w="1354" w:type="dxa"/>
          </w:tcPr>
          <w:p w14:paraId="19EB258D" w14:textId="77777777" w:rsidR="00C63704" w:rsidRPr="00DC06C8" w:rsidRDefault="00C63704" w:rsidP="009A740E">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Absent</w:t>
            </w:r>
          </w:p>
        </w:tc>
        <w:tc>
          <w:tcPr>
            <w:tcW w:w="1609" w:type="dxa"/>
          </w:tcPr>
          <w:p w14:paraId="6D0C525C" w14:textId="77777777" w:rsidR="00C63704" w:rsidRPr="00DC06C8" w:rsidRDefault="00C63704" w:rsidP="009A740E">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w:t>
            </w:r>
          </w:p>
        </w:tc>
        <w:tc>
          <w:tcPr>
            <w:tcW w:w="1715" w:type="dxa"/>
          </w:tcPr>
          <w:p w14:paraId="0CC07FD9" w14:textId="77777777" w:rsidR="00C63704" w:rsidRPr="00DC06C8" w:rsidRDefault="00C63704" w:rsidP="009A740E">
            <w:pPr>
              <w:keepNext/>
              <w:keepLines/>
              <w:widowControl/>
              <w:autoSpaceDE w:val="0"/>
              <w:autoSpaceDN w:val="0"/>
              <w:adjustRightInd w:val="0"/>
              <w:rPr>
                <w:rFonts w:ascii="CIDFont+F1" w:hAnsi="CIDFont+F1" w:cs="CIDFont+F1"/>
                <w:szCs w:val="22"/>
                <w:lang w:bidi="ar-SA"/>
              </w:rPr>
            </w:pPr>
            <w:r w:rsidRPr="00DC06C8">
              <w:rPr>
                <w:rFonts w:ascii="CIDFont+F1" w:hAnsi="CIDFont+F1" w:cs="CIDFont+F1"/>
                <w:szCs w:val="22"/>
                <w:lang w:bidi="ar-SA"/>
              </w:rPr>
              <w:t>-</w:t>
            </w:r>
          </w:p>
        </w:tc>
      </w:tr>
    </w:tbl>
    <w:p w14:paraId="11CB423D" w14:textId="77777777" w:rsidR="00C63704" w:rsidRPr="00166C57" w:rsidRDefault="00C63704" w:rsidP="00C63704">
      <w:pPr>
        <w:keepNext/>
        <w:keepLines/>
        <w:widowControl/>
        <w:autoSpaceDE w:val="0"/>
        <w:autoSpaceDN w:val="0"/>
        <w:adjustRightInd w:val="0"/>
        <w:spacing w:before="60"/>
        <w:rPr>
          <w:rFonts w:ascii="CIDFont+F1" w:eastAsia="Calibri" w:hAnsi="CIDFont+F1" w:cs="CIDFont+F1"/>
          <w:sz w:val="20"/>
          <w:szCs w:val="22"/>
          <w:lang w:bidi="ar-SA"/>
        </w:rPr>
      </w:pPr>
      <w:r w:rsidRPr="00166C57">
        <w:rPr>
          <w:rFonts w:ascii="CIDFont+F1" w:eastAsia="Calibri" w:hAnsi="CIDFont+F1" w:cs="CIDFont+F1"/>
          <w:sz w:val="20"/>
          <w:szCs w:val="22"/>
          <w:lang w:bidi="ar-SA"/>
        </w:rPr>
        <w:t>1. Only applies if there are not relevant specifications in S3—2, i.e. JECFA or FCC specifications</w:t>
      </w:r>
    </w:p>
    <w:p w14:paraId="3DB8D216" w14:textId="77777777" w:rsidR="00C63704" w:rsidRPr="00DC06C8" w:rsidRDefault="00C63704" w:rsidP="00C63704">
      <w:pPr>
        <w:keepNext/>
        <w:keepLines/>
        <w:widowControl/>
        <w:autoSpaceDE w:val="0"/>
        <w:autoSpaceDN w:val="0"/>
        <w:adjustRightInd w:val="0"/>
        <w:ind w:left="930"/>
        <w:contextualSpacing/>
        <w:rPr>
          <w:rFonts w:ascii="CIDFont+F1" w:eastAsia="Calibri" w:hAnsi="CIDFont+F1" w:cs="CIDFont+F1"/>
          <w:szCs w:val="22"/>
          <w:lang w:bidi="ar-SA"/>
        </w:rPr>
      </w:pPr>
    </w:p>
    <w:p w14:paraId="76606B1C" w14:textId="77777777" w:rsidR="00C63704" w:rsidRPr="00DC06C8" w:rsidRDefault="00C63704" w:rsidP="00C63704">
      <w:pPr>
        <w:rPr>
          <w:lang w:eastAsia="en-AU" w:bidi="ar-SA"/>
        </w:rPr>
      </w:pPr>
      <w:r w:rsidRPr="00DC06C8">
        <w:rPr>
          <w:rFonts w:ascii="CIDFont+F1" w:eastAsia="Calibri" w:hAnsi="CIDFont+F1" w:cs="CIDFont+F1"/>
          <w:szCs w:val="22"/>
          <w:lang w:bidi="ar-SA"/>
        </w:rPr>
        <w:t>Based on the above results, the enzyme preparation meets international and Code specifications for enzymes used in food production.</w:t>
      </w:r>
    </w:p>
    <w:p w14:paraId="5637F5EE" w14:textId="3B150A0A" w:rsidR="00C63704" w:rsidRPr="00DC06C8" w:rsidRDefault="00C63704" w:rsidP="00B373E9">
      <w:pPr>
        <w:pStyle w:val="Heading2"/>
      </w:pPr>
      <w:bookmarkStart w:id="27" w:name="_Toc67559430"/>
      <w:bookmarkStart w:id="28" w:name="_Toc75789514"/>
      <w:bookmarkStart w:id="29" w:name="_Toc76390763"/>
      <w:bookmarkStart w:id="30" w:name="_Toc472327053"/>
      <w:bookmarkStart w:id="31" w:name="_Toc501699827"/>
      <w:bookmarkStart w:id="32" w:name="_Toc67559432"/>
      <w:bookmarkStart w:id="33" w:name="_Toc75789516"/>
      <w:bookmarkStart w:id="34" w:name="_Toc76390765"/>
      <w:bookmarkStart w:id="35" w:name="_Toc85467270"/>
      <w:bookmarkEnd w:id="27"/>
      <w:bookmarkEnd w:id="28"/>
      <w:bookmarkEnd w:id="29"/>
      <w:r w:rsidRPr="00DC06C8">
        <w:t>2.</w:t>
      </w:r>
      <w:r w:rsidR="008326BF">
        <w:t>3</w:t>
      </w:r>
      <w:r w:rsidRPr="00DC06C8">
        <w:tab/>
        <w:t>Food technology conclusion</w:t>
      </w:r>
      <w:bookmarkEnd w:id="30"/>
      <w:bookmarkEnd w:id="31"/>
      <w:bookmarkEnd w:id="32"/>
      <w:bookmarkEnd w:id="33"/>
      <w:bookmarkEnd w:id="34"/>
      <w:bookmarkEnd w:id="35"/>
    </w:p>
    <w:p w14:paraId="3BE2982F" w14:textId="7C5EE9C7" w:rsidR="00C63704" w:rsidRPr="00DC06C8" w:rsidRDefault="00C63704" w:rsidP="00C63704">
      <w:r w:rsidRPr="00DC06C8">
        <w:t>The enzyme preparation meets international purity specifications.</w:t>
      </w:r>
      <w:r w:rsidR="008326BF">
        <w:t xml:space="preserve"> There are no food technological reasons</w:t>
      </w:r>
      <w:r w:rsidR="00931432">
        <w:t xml:space="preserve"> to indicate the enzyme of this application differs to that currently approved.</w:t>
      </w:r>
    </w:p>
    <w:p w14:paraId="75FA0173" w14:textId="693CA232" w:rsidR="00F174E4" w:rsidRPr="00EC273B" w:rsidRDefault="00F174E4" w:rsidP="009F5293">
      <w:pPr>
        <w:pStyle w:val="Heading1"/>
        <w:rPr>
          <w:lang w:val="en-AU"/>
        </w:rPr>
      </w:pPr>
      <w:bookmarkStart w:id="36" w:name="_Toc85467271"/>
      <w:r w:rsidRPr="00EC273B">
        <w:rPr>
          <w:lang w:val="en-AU"/>
        </w:rPr>
        <w:t>3</w:t>
      </w:r>
      <w:r w:rsidRPr="00EC273B">
        <w:rPr>
          <w:lang w:val="en-AU"/>
        </w:rPr>
        <w:tab/>
        <w:t>Safety assessment</w:t>
      </w:r>
      <w:bookmarkStart w:id="37" w:name="_Toc471740081"/>
      <w:bookmarkStart w:id="38" w:name="_Toc499282437"/>
      <w:bookmarkEnd w:id="7"/>
      <w:bookmarkEnd w:id="8"/>
      <w:bookmarkEnd w:id="36"/>
    </w:p>
    <w:p w14:paraId="1316A2B9" w14:textId="77777777" w:rsidR="00F174E4" w:rsidRPr="00EC273B" w:rsidRDefault="00F174E4" w:rsidP="00C63704">
      <w:pPr>
        <w:pStyle w:val="Heading2"/>
        <w:rPr>
          <w:lang w:val="en-AU"/>
        </w:rPr>
      </w:pPr>
      <w:bookmarkStart w:id="39" w:name="_Toc505255638"/>
      <w:bookmarkStart w:id="40" w:name="_Toc53473515"/>
      <w:bookmarkStart w:id="41" w:name="_Toc85467272"/>
      <w:r w:rsidRPr="00EC273B">
        <w:rPr>
          <w:lang w:val="en-AU"/>
        </w:rPr>
        <w:t>3.1</w:t>
      </w:r>
      <w:r w:rsidRPr="00EC273B">
        <w:rPr>
          <w:lang w:val="en-AU"/>
        </w:rPr>
        <w:tab/>
        <w:t>Objectives for safety assessment</w:t>
      </w:r>
      <w:bookmarkEnd w:id="39"/>
      <w:bookmarkEnd w:id="40"/>
      <w:bookmarkEnd w:id="41"/>
      <w:r w:rsidRPr="00EC273B">
        <w:rPr>
          <w:lang w:val="en-AU"/>
        </w:rPr>
        <w:t xml:space="preserve"> </w:t>
      </w:r>
    </w:p>
    <w:p w14:paraId="53C9C202" w14:textId="03041648" w:rsidR="007F5CCE" w:rsidRDefault="007F5CCE" w:rsidP="007F5CCE">
      <w:r>
        <w:rPr>
          <w:lang w:eastAsia="en-AU" w:bidi="ar-SA"/>
        </w:rPr>
        <w:t xml:space="preserve">The objectives of this safety assessment are to </w:t>
      </w:r>
      <w:r>
        <w:t>evaluate any potential public health and safety concerns that may arise from the use of this enzyme</w:t>
      </w:r>
      <w:r>
        <w:rPr>
          <w:lang w:eastAsia="en-AU"/>
        </w:rPr>
        <w:t xml:space="preserve">, produced by this microorganism, </w:t>
      </w:r>
      <w:r>
        <w:t>as a processing aid. Specifically this will be by considering:</w:t>
      </w:r>
    </w:p>
    <w:p w14:paraId="5031FA9C" w14:textId="055A143E" w:rsidR="007F5CCE" w:rsidRDefault="007F5CCE" w:rsidP="007F5CCE"/>
    <w:p w14:paraId="2D4883DB" w14:textId="5FFDC114" w:rsidR="007F5CCE" w:rsidRDefault="0097616F" w:rsidP="007F5CCE">
      <w:pPr>
        <w:pStyle w:val="FSBullet1"/>
        <w:rPr>
          <w:color w:val="000000" w:themeColor="text1"/>
          <w:lang w:val="en-AU"/>
        </w:rPr>
      </w:pPr>
      <w:r>
        <w:t xml:space="preserve">whether </w:t>
      </w:r>
      <w:r w:rsidR="007F5CCE">
        <w:t xml:space="preserve">the </w:t>
      </w:r>
      <w:r w:rsidR="007F5CCE" w:rsidRPr="007F5CCE">
        <w:rPr>
          <w:color w:val="000000" w:themeColor="text1"/>
          <w:lang w:val="en-AU"/>
        </w:rPr>
        <w:t>updated name of the microorganism</w:t>
      </w:r>
      <w:r w:rsidR="007F5CCE">
        <w:rPr>
          <w:color w:val="000000" w:themeColor="text1"/>
          <w:lang w:val="en-AU"/>
        </w:rPr>
        <w:t xml:space="preserve"> as requested is scientifically </w:t>
      </w:r>
      <w:r w:rsidR="007F5CCE" w:rsidRPr="007F5CCE">
        <w:rPr>
          <w:color w:val="000000" w:themeColor="text1"/>
          <w:lang w:val="en-AU"/>
        </w:rPr>
        <w:t>justified</w:t>
      </w:r>
      <w:r w:rsidR="007F5CCE">
        <w:rPr>
          <w:color w:val="000000" w:themeColor="text1"/>
          <w:lang w:val="en-AU"/>
        </w:rPr>
        <w:t>; and</w:t>
      </w:r>
    </w:p>
    <w:p w14:paraId="482C2D95" w14:textId="54CD76E3" w:rsidR="007F5CCE" w:rsidRPr="007F5CCE" w:rsidRDefault="0097616F" w:rsidP="007F5CCE">
      <w:pPr>
        <w:pStyle w:val="FSBullet1"/>
      </w:pPr>
      <w:r>
        <w:t xml:space="preserve">the </w:t>
      </w:r>
      <w:r w:rsidR="007F5CCE">
        <w:t>history of use of the production microorganism; and</w:t>
      </w:r>
    </w:p>
    <w:p w14:paraId="51F72D6B" w14:textId="1A9B3568" w:rsidR="007F5CCE" w:rsidRDefault="0097616F" w:rsidP="007F5CCE">
      <w:pPr>
        <w:pStyle w:val="FSBullet1"/>
      </w:pPr>
      <w:r>
        <w:t xml:space="preserve">the </w:t>
      </w:r>
      <w:r w:rsidR="007F5CCE" w:rsidRPr="009E0B40">
        <w:t>safety of the e</w:t>
      </w:r>
      <w:r w:rsidR="007F5CCE">
        <w:t>nzyme</w:t>
      </w:r>
      <w:r>
        <w:t xml:space="preserve"> preparation</w:t>
      </w:r>
      <w:r w:rsidR="007F5CCE">
        <w:t>.</w:t>
      </w:r>
    </w:p>
    <w:p w14:paraId="21C8BA96" w14:textId="643F9B6B" w:rsidR="00F174E4" w:rsidRPr="00EC273B" w:rsidRDefault="00F174E4" w:rsidP="00F174E4">
      <w:pPr>
        <w:pStyle w:val="FSBullet1"/>
        <w:numPr>
          <w:ilvl w:val="0"/>
          <w:numId w:val="0"/>
        </w:numPr>
        <w:ind w:left="567" w:hanging="567"/>
        <w:rPr>
          <w:lang w:val="en-AU"/>
        </w:rPr>
      </w:pPr>
    </w:p>
    <w:p w14:paraId="2CAABFBF" w14:textId="27A9ADBE" w:rsidR="00F174E4" w:rsidRPr="00EC273B" w:rsidRDefault="00F174E4" w:rsidP="00C63704">
      <w:pPr>
        <w:pStyle w:val="Heading2"/>
        <w:rPr>
          <w:lang w:val="en-AU"/>
        </w:rPr>
      </w:pPr>
      <w:bookmarkStart w:id="42" w:name="_Toc471740085"/>
      <w:bookmarkStart w:id="43" w:name="_Toc499282440"/>
      <w:bookmarkStart w:id="44" w:name="_Toc505255639"/>
      <w:bookmarkStart w:id="45" w:name="_Toc85467273"/>
      <w:bookmarkStart w:id="46" w:name="_Toc53473516"/>
      <w:bookmarkEnd w:id="37"/>
      <w:bookmarkEnd w:id="38"/>
      <w:r w:rsidRPr="00EC273B">
        <w:rPr>
          <w:lang w:val="en-AU"/>
        </w:rPr>
        <w:t>3.2</w:t>
      </w:r>
      <w:bookmarkEnd w:id="42"/>
      <w:r w:rsidRPr="00EC273B">
        <w:rPr>
          <w:lang w:val="en-AU"/>
        </w:rPr>
        <w:tab/>
        <w:t>History of use</w:t>
      </w:r>
      <w:bookmarkEnd w:id="43"/>
      <w:bookmarkEnd w:id="44"/>
      <w:r w:rsidR="00B15A14">
        <w:rPr>
          <w:lang w:val="en-AU"/>
        </w:rPr>
        <w:t xml:space="preserve"> </w:t>
      </w:r>
      <w:r w:rsidR="007F5CCE">
        <w:rPr>
          <w:lang w:val="en-AU"/>
        </w:rPr>
        <w:t xml:space="preserve">and identification </w:t>
      </w:r>
      <w:r w:rsidR="00B15A14">
        <w:rPr>
          <w:lang w:val="en-AU"/>
        </w:rPr>
        <w:t>of the microorganism</w:t>
      </w:r>
      <w:bookmarkEnd w:id="45"/>
      <w:r w:rsidRPr="00EC273B">
        <w:rPr>
          <w:lang w:val="en-AU"/>
        </w:rPr>
        <w:t xml:space="preserve"> </w:t>
      </w:r>
      <w:bookmarkEnd w:id="46"/>
    </w:p>
    <w:p w14:paraId="32DFFEA4" w14:textId="4B7C0222" w:rsidR="009A740E" w:rsidRDefault="009A740E" w:rsidP="009A740E">
      <w:pPr>
        <w:rPr>
          <w:color w:val="000000" w:themeColor="text1"/>
          <w:szCs w:val="22"/>
        </w:rPr>
      </w:pPr>
      <w:r w:rsidRPr="008061C0">
        <w:rPr>
          <w:i/>
          <w:color w:val="000000" w:themeColor="text1"/>
          <w:szCs w:val="22"/>
        </w:rPr>
        <w:t xml:space="preserve">Aspergillus </w:t>
      </w:r>
      <w:r w:rsidRPr="008061C0">
        <w:rPr>
          <w:color w:val="000000" w:themeColor="text1"/>
          <w:szCs w:val="22"/>
        </w:rPr>
        <w:t xml:space="preserve">belonging to the </w:t>
      </w:r>
      <w:r w:rsidRPr="008061C0">
        <w:rPr>
          <w:i/>
          <w:color w:val="000000" w:themeColor="text1"/>
          <w:szCs w:val="22"/>
        </w:rPr>
        <w:t>Nigri</w:t>
      </w:r>
      <w:r w:rsidRPr="008061C0">
        <w:rPr>
          <w:color w:val="000000" w:themeColor="text1"/>
          <w:szCs w:val="22"/>
        </w:rPr>
        <w:t xml:space="preserve"> section have a wide range of industrial applications in biomedicine, bioenergy, health and biotechnology (Vesth et al., 2018). A prominent example of the use of members of </w:t>
      </w:r>
      <w:r w:rsidRPr="008061C0">
        <w:rPr>
          <w:i/>
          <w:color w:val="000000" w:themeColor="text1"/>
          <w:szCs w:val="22"/>
        </w:rPr>
        <w:t xml:space="preserve">Aspergillus </w:t>
      </w:r>
      <w:r w:rsidRPr="008061C0">
        <w:rPr>
          <w:color w:val="000000" w:themeColor="text1"/>
          <w:szCs w:val="22"/>
        </w:rPr>
        <w:t xml:space="preserve">section </w:t>
      </w:r>
      <w:r w:rsidRPr="008061C0">
        <w:rPr>
          <w:i/>
          <w:color w:val="000000" w:themeColor="text1"/>
          <w:szCs w:val="22"/>
        </w:rPr>
        <w:t xml:space="preserve">Nigri </w:t>
      </w:r>
      <w:r w:rsidRPr="008061C0">
        <w:rPr>
          <w:color w:val="000000" w:themeColor="text1"/>
          <w:szCs w:val="22"/>
        </w:rPr>
        <w:t>is in the production of enzymes and organic acids through fermentation processes. As with many fungal species, the taxonomy of the</w:t>
      </w:r>
      <w:r w:rsidRPr="008061C0">
        <w:rPr>
          <w:i/>
          <w:color w:val="000000" w:themeColor="text1"/>
          <w:szCs w:val="22"/>
        </w:rPr>
        <w:t xml:space="preserve"> Aspergillus </w:t>
      </w:r>
      <w:r w:rsidRPr="008061C0">
        <w:rPr>
          <w:color w:val="000000" w:themeColor="text1"/>
          <w:szCs w:val="22"/>
        </w:rPr>
        <w:t xml:space="preserve">genus has undergone a number of changes in recent years based on the emergence of new sequence data (D’hooge et al. 2018). </w:t>
      </w:r>
    </w:p>
    <w:p w14:paraId="6F6AA67E" w14:textId="77777777" w:rsidR="006867F6" w:rsidRPr="008061C0" w:rsidRDefault="006867F6" w:rsidP="009A740E">
      <w:pPr>
        <w:rPr>
          <w:color w:val="000000" w:themeColor="text1"/>
          <w:szCs w:val="22"/>
        </w:rPr>
      </w:pPr>
    </w:p>
    <w:p w14:paraId="5638A09C" w14:textId="4F6B784E" w:rsidR="009A740E" w:rsidRPr="008061C0" w:rsidRDefault="009A740E" w:rsidP="009A740E">
      <w:pPr>
        <w:rPr>
          <w:rFonts w:cstheme="minorBidi"/>
          <w:color w:val="000000" w:themeColor="text1"/>
          <w:szCs w:val="22"/>
        </w:rPr>
      </w:pPr>
      <w:r w:rsidRPr="008061C0">
        <w:rPr>
          <w:rFonts w:cs="Arial"/>
          <w:color w:val="000000" w:themeColor="text1"/>
          <w:szCs w:val="22"/>
        </w:rPr>
        <w:t xml:space="preserve">As indicated by the applicant, the initial deposit of this strain was conducted in association with the filing of a patent and was classified by the American Type Culture Collection (ATCC) </w:t>
      </w:r>
      <w:r w:rsidRPr="008061C0">
        <w:rPr>
          <w:rFonts w:cs="Arial"/>
          <w:color w:val="000000" w:themeColor="text1"/>
          <w:szCs w:val="22"/>
        </w:rPr>
        <w:lastRenderedPageBreak/>
        <w:t xml:space="preserve">as </w:t>
      </w:r>
      <w:r w:rsidRPr="008061C0">
        <w:rPr>
          <w:rFonts w:cs="Arial"/>
          <w:i/>
          <w:iCs/>
          <w:color w:val="000000" w:themeColor="text1"/>
          <w:szCs w:val="22"/>
        </w:rPr>
        <w:t>Aspergillus niger</w:t>
      </w:r>
      <w:r w:rsidRPr="008061C0">
        <w:rPr>
          <w:rFonts w:cs="Arial"/>
          <w:color w:val="000000" w:themeColor="text1"/>
          <w:szCs w:val="22"/>
        </w:rPr>
        <w:t xml:space="preserve"> ATCC® 20611</w:t>
      </w:r>
      <w:r w:rsidRPr="008061C0">
        <w:rPr>
          <w:rFonts w:cs="Arial"/>
          <w:color w:val="000000" w:themeColor="text1"/>
          <w:szCs w:val="22"/>
          <w:vertAlign w:val="superscript"/>
        </w:rPr>
        <w:t>Tm</w:t>
      </w:r>
      <w:r w:rsidRPr="008061C0">
        <w:rPr>
          <w:rFonts w:cs="Arial"/>
          <w:i/>
          <w:iCs/>
          <w:color w:val="000000" w:themeColor="text1"/>
          <w:szCs w:val="22"/>
        </w:rPr>
        <w:t xml:space="preserve">. </w:t>
      </w:r>
      <w:r w:rsidRPr="008061C0">
        <w:rPr>
          <w:color w:val="000000" w:themeColor="text1"/>
          <w:szCs w:val="22"/>
        </w:rPr>
        <w:t xml:space="preserve">The beta-fructofuranosidase enzyme produced by this organism has previously been approved for use </w:t>
      </w:r>
      <w:r w:rsidR="00E85224">
        <w:rPr>
          <w:color w:val="000000" w:themeColor="text1"/>
          <w:szCs w:val="22"/>
        </w:rPr>
        <w:t>in the Code through A1055</w:t>
      </w:r>
      <w:r w:rsidR="00C7737D">
        <w:rPr>
          <w:color w:val="000000" w:themeColor="text1"/>
          <w:szCs w:val="22"/>
        </w:rPr>
        <w:t xml:space="preserve"> (FSANZ 2013)</w:t>
      </w:r>
      <w:r w:rsidRPr="008061C0">
        <w:rPr>
          <w:color w:val="000000" w:themeColor="text1"/>
          <w:szCs w:val="22"/>
        </w:rPr>
        <w:t xml:space="preserve">, where the production strain is referred to by its previous name, </w:t>
      </w:r>
      <w:r w:rsidRPr="008061C0">
        <w:rPr>
          <w:i/>
          <w:color w:val="000000" w:themeColor="text1"/>
          <w:szCs w:val="22"/>
        </w:rPr>
        <w:t>A. niger</w:t>
      </w:r>
      <w:r w:rsidRPr="008061C0">
        <w:rPr>
          <w:color w:val="000000" w:themeColor="text1"/>
          <w:szCs w:val="22"/>
        </w:rPr>
        <w:t xml:space="preserve">. In November 1997, ATCC reclassified it as </w:t>
      </w:r>
      <w:r w:rsidRPr="008061C0">
        <w:rPr>
          <w:i/>
          <w:color w:val="000000" w:themeColor="text1"/>
          <w:szCs w:val="22"/>
        </w:rPr>
        <w:t xml:space="preserve">A. japonicus </w:t>
      </w:r>
      <w:r w:rsidRPr="008061C0">
        <w:rPr>
          <w:color w:val="000000" w:themeColor="text1"/>
          <w:szCs w:val="22"/>
        </w:rPr>
        <w:t>based on its morphology.</w:t>
      </w:r>
      <w:r w:rsidRPr="008061C0">
        <w:rPr>
          <w:rFonts w:cs="Arial"/>
          <w:i/>
          <w:iCs/>
          <w:color w:val="000000" w:themeColor="text1"/>
          <w:szCs w:val="22"/>
        </w:rPr>
        <w:t xml:space="preserve"> </w:t>
      </w:r>
      <w:r w:rsidRPr="008061C0">
        <w:rPr>
          <w:rFonts w:cs="Arial"/>
          <w:color w:val="000000" w:themeColor="text1"/>
          <w:szCs w:val="22"/>
        </w:rPr>
        <w:t xml:space="preserve">This strain has now since been re-identified as </w:t>
      </w:r>
      <w:r w:rsidRPr="008061C0">
        <w:rPr>
          <w:rFonts w:cs="Arial"/>
          <w:i/>
          <w:iCs/>
          <w:color w:val="000000" w:themeColor="text1"/>
          <w:szCs w:val="22"/>
        </w:rPr>
        <w:t xml:space="preserve">Aspergillus fijiensis </w:t>
      </w:r>
      <w:r w:rsidRPr="008061C0">
        <w:rPr>
          <w:rFonts w:cs="Arial"/>
          <w:color w:val="000000" w:themeColor="text1"/>
          <w:szCs w:val="22"/>
        </w:rPr>
        <w:t xml:space="preserve">based </w:t>
      </w:r>
      <w:r w:rsidR="00056829" w:rsidRPr="008061C0">
        <w:rPr>
          <w:rFonts w:cs="Arial"/>
          <w:color w:val="000000" w:themeColor="text1"/>
          <w:szCs w:val="22"/>
        </w:rPr>
        <w:t>on</w:t>
      </w:r>
      <w:r w:rsidRPr="008061C0">
        <w:rPr>
          <w:rFonts w:cs="Arial"/>
          <w:color w:val="000000" w:themeColor="text1"/>
          <w:szCs w:val="22"/>
        </w:rPr>
        <w:t xml:space="preserve"> calmodulin gene sequencing conducted by the ATCC in 2015 with reference to</w:t>
      </w:r>
      <w:r w:rsidRPr="008061C0">
        <w:rPr>
          <w:rFonts w:cs="Arial"/>
          <w:i/>
          <w:iCs/>
          <w:color w:val="000000" w:themeColor="text1"/>
          <w:szCs w:val="22"/>
        </w:rPr>
        <w:t xml:space="preserve"> </w:t>
      </w:r>
      <w:r w:rsidRPr="008061C0">
        <w:rPr>
          <w:rFonts w:cs="Arial"/>
          <w:color w:val="000000" w:themeColor="text1"/>
          <w:szCs w:val="22"/>
        </w:rPr>
        <w:t xml:space="preserve">Varga </w:t>
      </w:r>
      <w:r w:rsidRPr="00E85224">
        <w:rPr>
          <w:rFonts w:cs="Arial"/>
          <w:iCs/>
          <w:color w:val="000000" w:themeColor="text1"/>
          <w:szCs w:val="22"/>
        </w:rPr>
        <w:t>et al</w:t>
      </w:r>
      <w:r w:rsidR="00E85224">
        <w:rPr>
          <w:rFonts w:cs="Arial"/>
          <w:iCs/>
          <w:color w:val="000000" w:themeColor="text1"/>
          <w:szCs w:val="22"/>
        </w:rPr>
        <w:t>.</w:t>
      </w:r>
      <w:r w:rsidRPr="008061C0">
        <w:rPr>
          <w:rFonts w:cs="Arial"/>
          <w:color w:val="000000" w:themeColor="text1"/>
          <w:szCs w:val="22"/>
        </w:rPr>
        <w:t xml:space="preserve"> (2011) who identified </w:t>
      </w:r>
      <w:r w:rsidRPr="008061C0">
        <w:rPr>
          <w:rFonts w:cs="Arial"/>
          <w:i/>
          <w:color w:val="000000" w:themeColor="text1"/>
          <w:szCs w:val="22"/>
        </w:rPr>
        <w:t>A</w:t>
      </w:r>
      <w:r w:rsidR="00E85224">
        <w:rPr>
          <w:rFonts w:cs="Arial"/>
          <w:i/>
          <w:color w:val="000000" w:themeColor="text1"/>
          <w:szCs w:val="22"/>
        </w:rPr>
        <w:t>.</w:t>
      </w:r>
      <w:r w:rsidRPr="008061C0">
        <w:rPr>
          <w:rFonts w:cs="Arial"/>
          <w:i/>
          <w:color w:val="000000" w:themeColor="text1"/>
          <w:szCs w:val="22"/>
        </w:rPr>
        <w:t xml:space="preserve"> fijiensis</w:t>
      </w:r>
      <w:r w:rsidRPr="008061C0">
        <w:rPr>
          <w:rFonts w:cs="Arial"/>
          <w:color w:val="000000" w:themeColor="text1"/>
          <w:szCs w:val="22"/>
        </w:rPr>
        <w:t xml:space="preserve"> as a new species. </w:t>
      </w:r>
    </w:p>
    <w:p w14:paraId="55766201" w14:textId="77777777" w:rsidR="009A740E" w:rsidRPr="008061C0" w:rsidRDefault="009A740E" w:rsidP="009A740E">
      <w:pPr>
        <w:rPr>
          <w:rFonts w:cs="Arial"/>
          <w:color w:val="000000" w:themeColor="text1"/>
          <w:szCs w:val="22"/>
        </w:rPr>
      </w:pPr>
    </w:p>
    <w:p w14:paraId="399A9854" w14:textId="43ECF051" w:rsidR="009A740E" w:rsidRPr="008061C0" w:rsidRDefault="009A740E" w:rsidP="009A740E">
      <w:pPr>
        <w:rPr>
          <w:rFonts w:cs="Arial"/>
          <w:iCs/>
          <w:color w:val="000000" w:themeColor="text1"/>
          <w:szCs w:val="22"/>
        </w:rPr>
      </w:pPr>
      <w:r w:rsidRPr="008061C0">
        <w:rPr>
          <w:rFonts w:cs="Arial"/>
          <w:color w:val="000000" w:themeColor="text1"/>
          <w:szCs w:val="22"/>
        </w:rPr>
        <w:t xml:space="preserve">However, since then, </w:t>
      </w:r>
      <w:r w:rsidRPr="008061C0">
        <w:rPr>
          <w:color w:val="000000" w:themeColor="text1"/>
          <w:szCs w:val="22"/>
        </w:rPr>
        <w:t xml:space="preserve">a number of references identified that </w:t>
      </w:r>
      <w:r w:rsidRPr="008061C0">
        <w:rPr>
          <w:rFonts w:cs="Arial"/>
          <w:i/>
          <w:iCs/>
          <w:color w:val="000000" w:themeColor="text1"/>
          <w:szCs w:val="22"/>
        </w:rPr>
        <w:t xml:space="preserve">A. fijiensis </w:t>
      </w:r>
      <w:r w:rsidRPr="008061C0">
        <w:rPr>
          <w:rFonts w:cs="Arial"/>
          <w:iCs/>
          <w:color w:val="000000" w:themeColor="text1"/>
          <w:szCs w:val="22"/>
        </w:rPr>
        <w:t xml:space="preserve">should be considered a synonym of the species </w:t>
      </w:r>
      <w:r w:rsidR="00E85224" w:rsidRPr="008061C0">
        <w:rPr>
          <w:rFonts w:cs="Arial"/>
          <w:i/>
          <w:iCs/>
          <w:color w:val="000000" w:themeColor="text1"/>
          <w:szCs w:val="22"/>
        </w:rPr>
        <w:t>Aspergillus</w:t>
      </w:r>
      <w:r w:rsidRPr="008061C0">
        <w:rPr>
          <w:rFonts w:cs="Arial"/>
          <w:i/>
          <w:iCs/>
          <w:color w:val="000000" w:themeColor="text1"/>
          <w:szCs w:val="22"/>
        </w:rPr>
        <w:t xml:space="preserve"> brunneoviolaceus </w:t>
      </w:r>
      <w:r w:rsidRPr="008061C0">
        <w:rPr>
          <w:rFonts w:cs="Arial"/>
          <w:iCs/>
          <w:color w:val="000000" w:themeColor="text1"/>
          <w:szCs w:val="22"/>
        </w:rPr>
        <w:t xml:space="preserve">that was first described in 1955 </w:t>
      </w:r>
      <w:r w:rsidRPr="008061C0">
        <w:rPr>
          <w:color w:val="000000" w:themeColor="text1"/>
          <w:szCs w:val="22"/>
        </w:rPr>
        <w:t>(Batista &amp; Maia 1955).</w:t>
      </w:r>
      <w:r w:rsidRPr="008061C0">
        <w:rPr>
          <w:rFonts w:cs="Arial"/>
          <w:iCs/>
          <w:color w:val="000000" w:themeColor="text1"/>
          <w:szCs w:val="22"/>
        </w:rPr>
        <w:t xml:space="preserve"> For example, Hubka and Kolarik (2012) identified that β-tubulin primers are not specific for the </w:t>
      </w:r>
      <w:r w:rsidRPr="008061C0">
        <w:rPr>
          <w:rFonts w:cs="Arial"/>
          <w:i/>
          <w:iCs/>
          <w:color w:val="000000" w:themeColor="text1"/>
          <w:szCs w:val="22"/>
        </w:rPr>
        <w:t>benA</w:t>
      </w:r>
      <w:r w:rsidRPr="008061C0">
        <w:rPr>
          <w:rFonts w:cs="Arial"/>
          <w:iCs/>
          <w:color w:val="000000" w:themeColor="text1"/>
          <w:szCs w:val="22"/>
        </w:rPr>
        <w:t xml:space="preserve"> gene for some taxa and preferentially amplify the</w:t>
      </w:r>
    </w:p>
    <w:p w14:paraId="7AD2B1CB" w14:textId="5C67C657" w:rsidR="009A740E" w:rsidRPr="008061C0" w:rsidRDefault="009A740E" w:rsidP="009A740E">
      <w:pPr>
        <w:rPr>
          <w:rFonts w:cs="Arial"/>
          <w:iCs/>
          <w:color w:val="000000" w:themeColor="text1"/>
          <w:szCs w:val="22"/>
        </w:rPr>
      </w:pPr>
      <w:r w:rsidRPr="008061C0">
        <w:rPr>
          <w:rFonts w:cs="Arial"/>
          <w:i/>
          <w:iCs/>
          <w:color w:val="000000" w:themeColor="text1"/>
          <w:szCs w:val="22"/>
        </w:rPr>
        <w:t>tubC</w:t>
      </w:r>
      <w:r w:rsidRPr="008061C0">
        <w:rPr>
          <w:rFonts w:cs="Arial"/>
          <w:iCs/>
          <w:color w:val="000000" w:themeColor="text1"/>
          <w:szCs w:val="22"/>
        </w:rPr>
        <w:t xml:space="preserve"> paralogue resulting in inaccurate identification. Hubka and Kolarik (2012) examined sequences that indicated that </w:t>
      </w:r>
      <w:r w:rsidRPr="008061C0">
        <w:rPr>
          <w:rFonts w:cs="Arial"/>
          <w:i/>
          <w:iCs/>
          <w:color w:val="000000" w:themeColor="text1"/>
          <w:szCs w:val="22"/>
        </w:rPr>
        <w:t>A. brunneoviolaceus</w:t>
      </w:r>
      <w:r w:rsidRPr="008061C0">
        <w:rPr>
          <w:rFonts w:cs="Arial"/>
          <w:iCs/>
          <w:color w:val="000000" w:themeColor="text1"/>
          <w:szCs w:val="22"/>
        </w:rPr>
        <w:t xml:space="preserve"> should be</w:t>
      </w:r>
      <w:r w:rsidR="00056829" w:rsidRPr="008061C0">
        <w:rPr>
          <w:rFonts w:cs="Arial"/>
          <w:iCs/>
          <w:color w:val="000000" w:themeColor="text1"/>
          <w:szCs w:val="22"/>
        </w:rPr>
        <w:t xml:space="preserve"> considered</w:t>
      </w:r>
      <w:r w:rsidRPr="008061C0">
        <w:rPr>
          <w:rFonts w:cs="Arial"/>
          <w:iCs/>
          <w:color w:val="000000" w:themeColor="text1"/>
          <w:szCs w:val="22"/>
        </w:rPr>
        <w:t xml:space="preserve"> a valid species. This </w:t>
      </w:r>
      <w:r w:rsidR="00056829" w:rsidRPr="008061C0">
        <w:rPr>
          <w:rFonts w:cs="Arial"/>
          <w:iCs/>
          <w:color w:val="000000" w:themeColor="text1"/>
          <w:szCs w:val="22"/>
        </w:rPr>
        <w:t>species</w:t>
      </w:r>
      <w:r w:rsidRPr="008061C0">
        <w:rPr>
          <w:rFonts w:cs="Arial"/>
          <w:iCs/>
          <w:color w:val="000000" w:themeColor="text1"/>
          <w:szCs w:val="22"/>
        </w:rPr>
        <w:t xml:space="preserve"> was not included in the study by Varga et al. (2011), and Hubka and Kolarik (2012) demonstrated low phylogenetic support for </w:t>
      </w:r>
      <w:r w:rsidRPr="008061C0">
        <w:rPr>
          <w:rFonts w:cs="Arial"/>
          <w:i/>
          <w:iCs/>
          <w:color w:val="000000" w:themeColor="text1"/>
          <w:szCs w:val="22"/>
        </w:rPr>
        <w:t>A. fijiensis</w:t>
      </w:r>
      <w:r w:rsidRPr="008061C0">
        <w:rPr>
          <w:rFonts w:cs="Arial"/>
          <w:iCs/>
          <w:color w:val="000000" w:themeColor="text1"/>
          <w:szCs w:val="22"/>
        </w:rPr>
        <w:t xml:space="preserve"> separation from </w:t>
      </w:r>
      <w:r w:rsidRPr="008061C0">
        <w:rPr>
          <w:rFonts w:cs="Arial"/>
          <w:i/>
          <w:iCs/>
          <w:color w:val="000000" w:themeColor="text1"/>
          <w:szCs w:val="22"/>
        </w:rPr>
        <w:t>A. brunneoviolaceus</w:t>
      </w:r>
      <w:r w:rsidRPr="008061C0">
        <w:rPr>
          <w:rFonts w:cs="Arial"/>
          <w:iCs/>
          <w:color w:val="000000" w:themeColor="text1"/>
          <w:szCs w:val="22"/>
        </w:rPr>
        <w:t xml:space="preserve"> as a separate species upon reanalysis. Hubka and Kolarik (2012) also stated the extrolite and secondary metabolite data do not clearly support </w:t>
      </w:r>
      <w:r w:rsidRPr="008061C0">
        <w:rPr>
          <w:rFonts w:cs="Arial"/>
          <w:i/>
          <w:iCs/>
          <w:color w:val="000000" w:themeColor="text1"/>
          <w:szCs w:val="22"/>
        </w:rPr>
        <w:t>A. fijiensis</w:t>
      </w:r>
      <w:r w:rsidRPr="008061C0">
        <w:rPr>
          <w:rFonts w:cs="Arial"/>
          <w:iCs/>
          <w:color w:val="000000" w:themeColor="text1"/>
          <w:szCs w:val="22"/>
        </w:rPr>
        <w:t xml:space="preserve"> as a separated species and</w:t>
      </w:r>
      <w:r w:rsidR="00056829" w:rsidRPr="008061C0">
        <w:rPr>
          <w:rFonts w:cs="Arial"/>
          <w:iCs/>
          <w:color w:val="000000" w:themeColor="text1"/>
          <w:szCs w:val="22"/>
        </w:rPr>
        <w:t>, as such,</w:t>
      </w:r>
      <w:r w:rsidRPr="008061C0">
        <w:rPr>
          <w:rFonts w:cs="Arial"/>
          <w:iCs/>
          <w:color w:val="000000" w:themeColor="text1"/>
          <w:szCs w:val="22"/>
        </w:rPr>
        <w:t xml:space="preserve"> </w:t>
      </w:r>
      <w:r w:rsidRPr="008061C0">
        <w:rPr>
          <w:rFonts w:cs="Arial"/>
          <w:i/>
          <w:iCs/>
          <w:color w:val="000000" w:themeColor="text1"/>
          <w:szCs w:val="22"/>
        </w:rPr>
        <w:t>A. fijiensis</w:t>
      </w:r>
      <w:r w:rsidRPr="008061C0">
        <w:rPr>
          <w:rFonts w:cs="Arial"/>
          <w:iCs/>
          <w:color w:val="000000" w:themeColor="text1"/>
          <w:szCs w:val="22"/>
        </w:rPr>
        <w:t xml:space="preserve"> </w:t>
      </w:r>
      <w:r w:rsidR="00056829" w:rsidRPr="008061C0">
        <w:rPr>
          <w:rFonts w:cs="Arial"/>
          <w:iCs/>
          <w:color w:val="000000" w:themeColor="text1"/>
          <w:szCs w:val="22"/>
        </w:rPr>
        <w:t>should be</w:t>
      </w:r>
      <w:r w:rsidRPr="008061C0">
        <w:rPr>
          <w:rFonts w:cs="Arial"/>
          <w:iCs/>
          <w:color w:val="000000" w:themeColor="text1"/>
          <w:szCs w:val="22"/>
        </w:rPr>
        <w:t xml:space="preserve"> treated as synonymous to </w:t>
      </w:r>
      <w:r w:rsidRPr="008061C0">
        <w:rPr>
          <w:rFonts w:cs="Arial"/>
          <w:i/>
          <w:iCs/>
          <w:color w:val="000000" w:themeColor="text1"/>
          <w:szCs w:val="22"/>
        </w:rPr>
        <w:t>A. brunneoviolaceus</w:t>
      </w:r>
      <w:r w:rsidRPr="008061C0">
        <w:rPr>
          <w:rFonts w:cs="Arial"/>
          <w:iCs/>
          <w:color w:val="000000" w:themeColor="text1"/>
          <w:szCs w:val="22"/>
        </w:rPr>
        <w:t xml:space="preserve">. </w:t>
      </w:r>
    </w:p>
    <w:p w14:paraId="7FFBAC6F" w14:textId="77777777" w:rsidR="009A740E" w:rsidRPr="008061C0" w:rsidRDefault="009A740E" w:rsidP="009A740E">
      <w:pPr>
        <w:rPr>
          <w:rFonts w:cs="Arial"/>
          <w:iCs/>
          <w:color w:val="000000" w:themeColor="text1"/>
          <w:szCs w:val="22"/>
        </w:rPr>
      </w:pPr>
    </w:p>
    <w:p w14:paraId="7513098B" w14:textId="678A87AA" w:rsidR="009A740E" w:rsidRPr="008061C0" w:rsidRDefault="009A740E" w:rsidP="009A740E">
      <w:pPr>
        <w:rPr>
          <w:rFonts w:cs="Arial"/>
          <w:iCs/>
          <w:color w:val="000000" w:themeColor="text1"/>
          <w:szCs w:val="22"/>
        </w:rPr>
      </w:pPr>
      <w:r w:rsidRPr="008061C0">
        <w:rPr>
          <w:rFonts w:cs="Arial"/>
          <w:iCs/>
          <w:color w:val="000000" w:themeColor="text1"/>
          <w:szCs w:val="22"/>
        </w:rPr>
        <w:t>Subsequently, these finding</w:t>
      </w:r>
      <w:r w:rsidR="000B0405">
        <w:rPr>
          <w:rFonts w:cs="Arial"/>
          <w:iCs/>
          <w:color w:val="000000" w:themeColor="text1"/>
          <w:szCs w:val="22"/>
        </w:rPr>
        <w:t>s were confirmed by Jurjević et</w:t>
      </w:r>
      <w:r w:rsidRPr="008061C0">
        <w:rPr>
          <w:rFonts w:cs="Arial"/>
          <w:iCs/>
          <w:color w:val="000000" w:themeColor="text1"/>
          <w:szCs w:val="22"/>
        </w:rPr>
        <w:t xml:space="preserve"> al</w:t>
      </w:r>
      <w:r w:rsidR="000B0405">
        <w:rPr>
          <w:rFonts w:cs="Arial"/>
          <w:iCs/>
          <w:color w:val="000000" w:themeColor="text1"/>
          <w:szCs w:val="22"/>
        </w:rPr>
        <w:t>.</w:t>
      </w:r>
      <w:r w:rsidRPr="008061C0">
        <w:rPr>
          <w:rFonts w:cs="Arial"/>
          <w:iCs/>
          <w:color w:val="000000" w:themeColor="text1"/>
          <w:szCs w:val="22"/>
        </w:rPr>
        <w:t xml:space="preserve"> (2012) providing further evidence supporting </w:t>
      </w:r>
      <w:r w:rsidRPr="008061C0">
        <w:rPr>
          <w:rFonts w:cs="Arial"/>
          <w:i/>
          <w:iCs/>
          <w:color w:val="000000" w:themeColor="text1"/>
          <w:szCs w:val="22"/>
        </w:rPr>
        <w:t>A. fijiensis</w:t>
      </w:r>
      <w:r w:rsidRPr="008061C0">
        <w:rPr>
          <w:rFonts w:cs="Arial"/>
          <w:iCs/>
          <w:color w:val="000000" w:themeColor="text1"/>
          <w:szCs w:val="22"/>
        </w:rPr>
        <w:t xml:space="preserve"> as a synonym of </w:t>
      </w:r>
      <w:r w:rsidRPr="008061C0">
        <w:rPr>
          <w:rFonts w:cs="Arial"/>
          <w:i/>
          <w:iCs/>
          <w:color w:val="000000" w:themeColor="text1"/>
          <w:szCs w:val="22"/>
        </w:rPr>
        <w:t>A. brunneoviolaceus</w:t>
      </w:r>
      <w:r w:rsidRPr="008061C0">
        <w:rPr>
          <w:rFonts w:cs="Arial"/>
          <w:iCs/>
          <w:color w:val="000000" w:themeColor="text1"/>
          <w:szCs w:val="22"/>
        </w:rPr>
        <w:t xml:space="preserve"> </w:t>
      </w:r>
      <w:r w:rsidR="008200AA">
        <w:rPr>
          <w:rFonts w:cs="Arial"/>
          <w:iCs/>
          <w:color w:val="000000" w:themeColor="text1"/>
          <w:szCs w:val="22"/>
        </w:rPr>
        <w:t>as</w:t>
      </w:r>
      <w:r w:rsidR="008200AA" w:rsidRPr="008061C0">
        <w:rPr>
          <w:rFonts w:cs="Arial"/>
          <w:iCs/>
          <w:color w:val="000000" w:themeColor="text1"/>
          <w:szCs w:val="22"/>
        </w:rPr>
        <w:t xml:space="preserve"> </w:t>
      </w:r>
      <w:r w:rsidRPr="008061C0">
        <w:rPr>
          <w:rFonts w:cs="Arial"/>
          <w:iCs/>
          <w:color w:val="000000" w:themeColor="text1"/>
          <w:szCs w:val="22"/>
        </w:rPr>
        <w:t xml:space="preserve">they were indistinguishable by multilocus sequence analysis and belong in the same highly supported clade. Furthermore, </w:t>
      </w:r>
      <w:r w:rsidRPr="008061C0">
        <w:rPr>
          <w:rFonts w:cs="Arial"/>
          <w:i/>
          <w:iCs/>
          <w:color w:val="000000" w:themeColor="text1"/>
          <w:szCs w:val="22"/>
        </w:rPr>
        <w:t>A. brunneoviolaceus</w:t>
      </w:r>
      <w:r w:rsidRPr="008061C0">
        <w:rPr>
          <w:rFonts w:cs="Arial"/>
          <w:iCs/>
          <w:color w:val="000000" w:themeColor="text1"/>
          <w:szCs w:val="22"/>
        </w:rPr>
        <w:t xml:space="preserve"> (syn. </w:t>
      </w:r>
      <w:r w:rsidRPr="008061C0">
        <w:rPr>
          <w:i/>
          <w:color w:val="000000" w:themeColor="text1"/>
          <w:szCs w:val="22"/>
        </w:rPr>
        <w:t>A. fijiensis</w:t>
      </w:r>
      <w:r w:rsidRPr="008061C0">
        <w:rPr>
          <w:color w:val="000000" w:themeColor="text1"/>
          <w:szCs w:val="22"/>
        </w:rPr>
        <w:t xml:space="preserve">) was </w:t>
      </w:r>
      <w:r w:rsidR="00056829" w:rsidRPr="008061C0">
        <w:rPr>
          <w:color w:val="000000" w:themeColor="text1"/>
          <w:szCs w:val="22"/>
        </w:rPr>
        <w:t>referenced</w:t>
      </w:r>
      <w:r w:rsidRPr="008061C0">
        <w:rPr>
          <w:color w:val="000000" w:themeColor="text1"/>
          <w:szCs w:val="22"/>
        </w:rPr>
        <w:t xml:space="preserve"> as the accepted species name</w:t>
      </w:r>
      <w:r w:rsidRPr="008061C0">
        <w:rPr>
          <w:rFonts w:cs="Arial"/>
          <w:iCs/>
          <w:color w:val="000000" w:themeColor="text1"/>
          <w:szCs w:val="22"/>
        </w:rPr>
        <w:t xml:space="preserve"> by Samson et al (2014) who presented </w:t>
      </w:r>
      <w:r w:rsidR="000B0405">
        <w:rPr>
          <w:rFonts w:cs="Arial"/>
          <w:iCs/>
          <w:color w:val="000000" w:themeColor="text1"/>
          <w:szCs w:val="22"/>
        </w:rPr>
        <w:t>a</w:t>
      </w:r>
      <w:r w:rsidR="008200AA">
        <w:rPr>
          <w:rFonts w:cs="Arial"/>
          <w:iCs/>
          <w:color w:val="000000" w:themeColor="text1"/>
          <w:szCs w:val="22"/>
        </w:rPr>
        <w:t>n</w:t>
      </w:r>
      <w:r w:rsidRPr="008061C0">
        <w:rPr>
          <w:rFonts w:cs="Arial"/>
          <w:iCs/>
          <w:color w:val="000000" w:themeColor="text1"/>
          <w:szCs w:val="22"/>
        </w:rPr>
        <w:t xml:space="preserve"> updated accepted species list for the </w:t>
      </w:r>
      <w:r w:rsidRPr="008061C0">
        <w:rPr>
          <w:rFonts w:cs="Arial"/>
          <w:i/>
          <w:iCs/>
          <w:color w:val="000000" w:themeColor="text1"/>
          <w:szCs w:val="22"/>
        </w:rPr>
        <w:t>Aspergillus</w:t>
      </w:r>
      <w:r w:rsidRPr="008061C0">
        <w:rPr>
          <w:rFonts w:cs="Arial"/>
          <w:iCs/>
          <w:color w:val="000000" w:themeColor="text1"/>
          <w:szCs w:val="22"/>
        </w:rPr>
        <w:t xml:space="preserve"> genus</w:t>
      </w:r>
      <w:r w:rsidR="00056829" w:rsidRPr="008061C0">
        <w:rPr>
          <w:rStyle w:val="FootnoteReference"/>
          <w:rFonts w:cs="Arial"/>
          <w:iCs/>
          <w:color w:val="000000" w:themeColor="text1"/>
          <w:szCs w:val="22"/>
        </w:rPr>
        <w:footnoteReference w:id="5"/>
      </w:r>
      <w:r w:rsidRPr="008061C0">
        <w:rPr>
          <w:rFonts w:cs="Arial"/>
          <w:iCs/>
          <w:color w:val="000000" w:themeColor="text1"/>
          <w:szCs w:val="22"/>
        </w:rPr>
        <w:t>.</w:t>
      </w:r>
    </w:p>
    <w:p w14:paraId="1D9915AA" w14:textId="77777777" w:rsidR="00056829" w:rsidRPr="008061C0" w:rsidRDefault="00056829" w:rsidP="009A740E">
      <w:pPr>
        <w:rPr>
          <w:color w:val="000000" w:themeColor="text1"/>
          <w:szCs w:val="22"/>
        </w:rPr>
      </w:pPr>
    </w:p>
    <w:p w14:paraId="2C193E6E" w14:textId="1DF2E41B" w:rsidR="009A740E" w:rsidRPr="008061C0" w:rsidRDefault="009A740E" w:rsidP="009A740E">
      <w:pPr>
        <w:rPr>
          <w:i/>
          <w:color w:val="000000" w:themeColor="text1"/>
          <w:szCs w:val="22"/>
        </w:rPr>
      </w:pPr>
      <w:r w:rsidRPr="008061C0">
        <w:rPr>
          <w:color w:val="000000" w:themeColor="text1"/>
          <w:szCs w:val="22"/>
        </w:rPr>
        <w:t xml:space="preserve">Calmodulin sequence data provided by the applicant from </w:t>
      </w:r>
      <w:r w:rsidR="0016464C">
        <w:rPr>
          <w:color w:val="000000" w:themeColor="text1"/>
          <w:szCs w:val="22"/>
        </w:rPr>
        <w:t xml:space="preserve">the </w:t>
      </w:r>
      <w:r w:rsidRPr="008061C0">
        <w:rPr>
          <w:color w:val="000000" w:themeColor="text1"/>
          <w:szCs w:val="22"/>
        </w:rPr>
        <w:t xml:space="preserve">ATCC was assessed by FSANZ and confirmed the species identity of the production strain as </w:t>
      </w:r>
      <w:r w:rsidRPr="008061C0">
        <w:rPr>
          <w:rFonts w:cs="Arial"/>
          <w:i/>
          <w:iCs/>
          <w:color w:val="000000" w:themeColor="text1"/>
          <w:szCs w:val="22"/>
        </w:rPr>
        <w:t>A. brunneoviolaceus</w:t>
      </w:r>
      <w:r w:rsidRPr="008061C0">
        <w:rPr>
          <w:rFonts w:cs="Arial"/>
          <w:iCs/>
          <w:color w:val="000000" w:themeColor="text1"/>
          <w:szCs w:val="22"/>
        </w:rPr>
        <w:t xml:space="preserve"> (syn. </w:t>
      </w:r>
      <w:r w:rsidRPr="008061C0">
        <w:rPr>
          <w:i/>
          <w:color w:val="000000" w:themeColor="text1"/>
          <w:szCs w:val="22"/>
        </w:rPr>
        <w:t>A. fijiensis</w:t>
      </w:r>
      <w:r w:rsidRPr="008061C0">
        <w:rPr>
          <w:color w:val="000000" w:themeColor="text1"/>
          <w:szCs w:val="22"/>
        </w:rPr>
        <w:t xml:space="preserve">) according to accepted methodology presented by </w:t>
      </w:r>
      <w:r w:rsidRPr="008061C0">
        <w:rPr>
          <w:rFonts w:cs="Arial"/>
          <w:iCs/>
          <w:color w:val="000000" w:themeColor="text1"/>
          <w:szCs w:val="22"/>
        </w:rPr>
        <w:t xml:space="preserve">Samson et al (2014) involving comparison against verified </w:t>
      </w:r>
      <w:r w:rsidRPr="008061C0">
        <w:rPr>
          <w:color w:val="000000" w:themeColor="text1"/>
          <w:szCs w:val="22"/>
        </w:rPr>
        <w:t>calmodulin</w:t>
      </w:r>
      <w:r w:rsidRPr="008061C0">
        <w:rPr>
          <w:rFonts w:cs="Arial"/>
          <w:iCs/>
          <w:color w:val="000000" w:themeColor="text1"/>
          <w:szCs w:val="22"/>
        </w:rPr>
        <w:t xml:space="preserve"> sequences of ex-type species</w:t>
      </w:r>
      <w:r w:rsidR="0016464C">
        <w:rPr>
          <w:rFonts w:cs="Arial"/>
          <w:iCs/>
          <w:color w:val="000000" w:themeColor="text1"/>
          <w:szCs w:val="22"/>
        </w:rPr>
        <w:t>.</w:t>
      </w:r>
      <w:r w:rsidRPr="008061C0">
        <w:rPr>
          <w:rFonts w:cs="Arial"/>
          <w:iCs/>
          <w:color w:val="000000" w:themeColor="text1"/>
          <w:szCs w:val="22"/>
        </w:rPr>
        <w:t xml:space="preserve"> Due to the identification of an alternative species name to that presented by the applicant, an additional literature search was conducted for </w:t>
      </w:r>
      <w:r w:rsidRPr="008061C0">
        <w:rPr>
          <w:rFonts w:cs="Arial"/>
          <w:i/>
          <w:iCs/>
          <w:color w:val="000000" w:themeColor="text1"/>
          <w:szCs w:val="22"/>
        </w:rPr>
        <w:t xml:space="preserve">A. brunneoviolaceus </w:t>
      </w:r>
      <w:r w:rsidRPr="008061C0">
        <w:rPr>
          <w:rFonts w:cs="Arial"/>
          <w:iCs/>
          <w:color w:val="000000" w:themeColor="text1"/>
          <w:szCs w:val="22"/>
        </w:rPr>
        <w:t xml:space="preserve">in addition to </w:t>
      </w:r>
      <w:r w:rsidRPr="008061C0">
        <w:rPr>
          <w:i/>
          <w:color w:val="000000" w:themeColor="text1"/>
          <w:szCs w:val="22"/>
        </w:rPr>
        <w:t xml:space="preserve">A. fijiensis. </w:t>
      </w:r>
    </w:p>
    <w:p w14:paraId="71421F51" w14:textId="77777777" w:rsidR="009A740E" w:rsidRPr="008061C0" w:rsidRDefault="009A740E" w:rsidP="009A740E">
      <w:pPr>
        <w:rPr>
          <w:i/>
          <w:color w:val="000000" w:themeColor="text1"/>
          <w:szCs w:val="22"/>
        </w:rPr>
      </w:pPr>
    </w:p>
    <w:p w14:paraId="5F7CDD4C" w14:textId="658B5C68" w:rsidR="009A740E" w:rsidRDefault="009A740E" w:rsidP="009A740E">
      <w:pPr>
        <w:rPr>
          <w:rFonts w:cs="Arial"/>
          <w:i/>
          <w:color w:val="000000" w:themeColor="text1"/>
          <w:szCs w:val="22"/>
          <w:shd w:val="clear" w:color="auto" w:fill="FFFFFF"/>
        </w:rPr>
      </w:pPr>
      <w:r w:rsidRPr="008061C0">
        <w:rPr>
          <w:rFonts w:cs="Arial"/>
          <w:i/>
          <w:iCs/>
          <w:color w:val="000000" w:themeColor="text1"/>
          <w:szCs w:val="22"/>
        </w:rPr>
        <w:t xml:space="preserve">A. brunneoviolaceus </w:t>
      </w:r>
      <w:r w:rsidRPr="008061C0">
        <w:rPr>
          <w:rFonts w:cs="Arial"/>
          <w:color w:val="000000" w:themeColor="text1"/>
          <w:szCs w:val="22"/>
          <w:shd w:val="clear" w:color="auto" w:fill="FFFFFF"/>
        </w:rPr>
        <w:t>(syn. </w:t>
      </w:r>
      <w:r w:rsidRPr="008061C0">
        <w:rPr>
          <w:rFonts w:cs="Arial"/>
          <w:i/>
          <w:iCs/>
          <w:color w:val="000000" w:themeColor="text1"/>
          <w:szCs w:val="22"/>
          <w:shd w:val="clear" w:color="auto" w:fill="FFFFFF"/>
        </w:rPr>
        <w:t>A. fijiensis</w:t>
      </w:r>
      <w:r w:rsidRPr="008061C0">
        <w:rPr>
          <w:rFonts w:cs="Arial"/>
          <w:color w:val="000000" w:themeColor="text1"/>
          <w:szCs w:val="22"/>
          <w:shd w:val="clear" w:color="auto" w:fill="FFFFFF"/>
        </w:rPr>
        <w:t>)</w:t>
      </w:r>
      <w:r w:rsidRPr="008061C0">
        <w:rPr>
          <w:rFonts w:cs="Arial"/>
          <w:i/>
          <w:iCs/>
          <w:color w:val="000000" w:themeColor="text1"/>
          <w:szCs w:val="22"/>
        </w:rPr>
        <w:t xml:space="preserve"> </w:t>
      </w:r>
      <w:r w:rsidRPr="008061C0">
        <w:rPr>
          <w:rFonts w:cs="Arial"/>
          <w:iCs/>
          <w:color w:val="000000" w:themeColor="text1"/>
          <w:szCs w:val="22"/>
        </w:rPr>
        <w:t xml:space="preserve">are saprophytic airborne fungi </w:t>
      </w:r>
      <w:r w:rsidRPr="008061C0">
        <w:rPr>
          <w:color w:val="000000" w:themeColor="text1"/>
          <w:szCs w:val="22"/>
        </w:rPr>
        <w:t xml:space="preserve">belonging to the </w:t>
      </w:r>
      <w:r w:rsidRPr="008061C0">
        <w:rPr>
          <w:i/>
          <w:color w:val="000000" w:themeColor="text1"/>
          <w:szCs w:val="22"/>
        </w:rPr>
        <w:t>Nigri</w:t>
      </w:r>
      <w:r w:rsidRPr="008061C0">
        <w:rPr>
          <w:color w:val="000000" w:themeColor="text1"/>
          <w:szCs w:val="22"/>
        </w:rPr>
        <w:t xml:space="preserve"> section</w:t>
      </w:r>
      <w:r w:rsidRPr="008061C0">
        <w:rPr>
          <w:rFonts w:cs="Arial"/>
          <w:iCs/>
          <w:color w:val="000000" w:themeColor="text1"/>
          <w:szCs w:val="22"/>
        </w:rPr>
        <w:t xml:space="preserve">, but </w:t>
      </w:r>
      <w:r w:rsidR="00056829" w:rsidRPr="008061C0">
        <w:rPr>
          <w:rFonts w:cs="Arial"/>
          <w:iCs/>
          <w:color w:val="000000" w:themeColor="text1"/>
          <w:szCs w:val="22"/>
        </w:rPr>
        <w:t>are</w:t>
      </w:r>
      <w:r w:rsidRPr="008061C0">
        <w:rPr>
          <w:rFonts w:cs="Arial"/>
          <w:iCs/>
          <w:color w:val="000000" w:themeColor="text1"/>
          <w:szCs w:val="22"/>
        </w:rPr>
        <w:t xml:space="preserve"> occasionally</w:t>
      </w:r>
      <w:r w:rsidR="00056829" w:rsidRPr="008061C0">
        <w:rPr>
          <w:rFonts w:cs="Arial"/>
          <w:iCs/>
          <w:color w:val="000000" w:themeColor="text1"/>
          <w:szCs w:val="22"/>
        </w:rPr>
        <w:t xml:space="preserve"> implicated in human pulmonary </w:t>
      </w:r>
      <w:r w:rsidRPr="008061C0">
        <w:rPr>
          <w:rFonts w:cs="Arial"/>
          <w:iCs/>
          <w:color w:val="000000" w:themeColor="text1"/>
          <w:szCs w:val="22"/>
        </w:rPr>
        <w:t xml:space="preserve">infection </w:t>
      </w:r>
      <w:r w:rsidR="00C35C3D" w:rsidRPr="008061C0">
        <w:rPr>
          <w:rFonts w:cs="Arial"/>
          <w:color w:val="000000" w:themeColor="text1"/>
          <w:szCs w:val="22"/>
          <w:shd w:val="clear" w:color="auto" w:fill="FFFFFF"/>
        </w:rPr>
        <w:t>(Ezekiel</w:t>
      </w:r>
      <w:r w:rsidR="00C35C3D" w:rsidRPr="008061C0">
        <w:rPr>
          <w:color w:val="000000" w:themeColor="text1"/>
          <w:szCs w:val="22"/>
        </w:rPr>
        <w:t xml:space="preserve"> et al 2020)</w:t>
      </w:r>
      <w:r w:rsidRPr="008061C0">
        <w:rPr>
          <w:rFonts w:cs="Arial"/>
          <w:color w:val="000000" w:themeColor="text1"/>
          <w:szCs w:val="22"/>
          <w:shd w:val="clear" w:color="auto" w:fill="FFFFFF"/>
        </w:rPr>
        <w:t xml:space="preserve">. </w:t>
      </w:r>
      <w:r w:rsidR="00056829" w:rsidRPr="008061C0">
        <w:rPr>
          <w:rFonts w:cs="Arial"/>
          <w:color w:val="000000" w:themeColor="text1"/>
          <w:szCs w:val="22"/>
          <w:shd w:val="clear" w:color="auto" w:fill="FFFFFF"/>
        </w:rPr>
        <w:t>However, n</w:t>
      </w:r>
      <w:r w:rsidRPr="008061C0">
        <w:rPr>
          <w:rFonts w:cs="Arial"/>
          <w:color w:val="000000" w:themeColor="text1"/>
          <w:szCs w:val="22"/>
          <w:shd w:val="clear" w:color="auto" w:fill="FFFFFF"/>
        </w:rPr>
        <w:t xml:space="preserve">o evidence of associated foodborne pathogenicity </w:t>
      </w:r>
      <w:r w:rsidR="00056829" w:rsidRPr="008061C0">
        <w:rPr>
          <w:rFonts w:cs="Arial"/>
          <w:color w:val="000000" w:themeColor="text1"/>
          <w:szCs w:val="22"/>
          <w:shd w:val="clear" w:color="auto" w:fill="FFFFFF"/>
        </w:rPr>
        <w:t xml:space="preserve">or toxicity </w:t>
      </w:r>
      <w:r w:rsidRPr="008061C0">
        <w:rPr>
          <w:rFonts w:cs="Arial"/>
          <w:color w:val="000000" w:themeColor="text1"/>
          <w:szCs w:val="22"/>
          <w:shd w:val="clear" w:color="auto" w:fill="FFFFFF"/>
        </w:rPr>
        <w:t>were identified in the literature</w:t>
      </w:r>
      <w:r w:rsidR="00DD5DF1">
        <w:rPr>
          <w:rFonts w:cs="Arial"/>
          <w:color w:val="000000" w:themeColor="text1"/>
          <w:szCs w:val="22"/>
          <w:shd w:val="clear" w:color="auto" w:fill="FFFFFF"/>
        </w:rPr>
        <w:t xml:space="preserve">. </w:t>
      </w:r>
      <w:r w:rsidRPr="008061C0">
        <w:rPr>
          <w:rFonts w:cs="Arial"/>
          <w:color w:val="000000" w:themeColor="text1"/>
          <w:szCs w:val="22"/>
        </w:rPr>
        <w:t xml:space="preserve">Some strains of </w:t>
      </w:r>
      <w:r w:rsidRPr="008061C0">
        <w:rPr>
          <w:rFonts w:cs="Arial"/>
          <w:i/>
          <w:color w:val="000000" w:themeColor="text1"/>
          <w:szCs w:val="22"/>
        </w:rPr>
        <w:t>Aspergillus</w:t>
      </w:r>
      <w:r w:rsidRPr="008061C0">
        <w:rPr>
          <w:rFonts w:cs="Arial"/>
          <w:color w:val="000000" w:themeColor="text1"/>
          <w:szCs w:val="22"/>
        </w:rPr>
        <w:t xml:space="preserve"> are capable of producing </w:t>
      </w:r>
      <w:r w:rsidR="008061C0" w:rsidRPr="008061C0">
        <w:rPr>
          <w:rFonts w:cs="Arial"/>
          <w:color w:val="000000" w:themeColor="text1"/>
          <w:szCs w:val="22"/>
        </w:rPr>
        <w:t>myco</w:t>
      </w:r>
      <w:r w:rsidRPr="008061C0">
        <w:rPr>
          <w:rFonts w:cs="Arial"/>
          <w:color w:val="000000" w:themeColor="text1"/>
          <w:szCs w:val="22"/>
        </w:rPr>
        <w:t xml:space="preserve">toxins like ochratoxins, which are harmful to human health (Frisvad et al. 2011). </w:t>
      </w:r>
      <w:r w:rsidRPr="008061C0">
        <w:rPr>
          <w:rFonts w:cs="Arial"/>
          <w:i/>
          <w:iCs/>
          <w:color w:val="000000" w:themeColor="text1"/>
          <w:szCs w:val="22"/>
        </w:rPr>
        <w:t xml:space="preserve">A. brunneoviolaceus  </w:t>
      </w:r>
      <w:r w:rsidRPr="008061C0">
        <w:rPr>
          <w:rFonts w:cs="Arial"/>
          <w:iCs/>
          <w:color w:val="000000" w:themeColor="text1"/>
          <w:szCs w:val="22"/>
        </w:rPr>
        <w:t xml:space="preserve">was not observed to produce </w:t>
      </w:r>
      <w:r w:rsidRPr="008061C0">
        <w:rPr>
          <w:rFonts w:cs="Arial"/>
          <w:color w:val="000000" w:themeColor="text1"/>
          <w:szCs w:val="22"/>
        </w:rPr>
        <w:t xml:space="preserve">ochratoxins or aflatoxins (Somma et al. (2012); </w:t>
      </w:r>
      <w:r w:rsidRPr="008061C0">
        <w:rPr>
          <w:rFonts w:cs="Arial"/>
          <w:color w:val="000000" w:themeColor="text1"/>
          <w:szCs w:val="22"/>
          <w:shd w:val="clear" w:color="auto" w:fill="FFFFFF"/>
        </w:rPr>
        <w:t>Huang et al. (2020); Jurjević et al (2012))</w:t>
      </w:r>
      <w:r w:rsidR="00056829" w:rsidRPr="008061C0">
        <w:rPr>
          <w:rFonts w:cs="Arial"/>
          <w:color w:val="000000" w:themeColor="text1"/>
          <w:szCs w:val="22"/>
          <w:shd w:val="clear" w:color="auto" w:fill="FFFFFF"/>
        </w:rPr>
        <w:t>.</w:t>
      </w:r>
      <w:r w:rsidR="00F94A45">
        <w:rPr>
          <w:rFonts w:cs="Arial"/>
          <w:color w:val="000000" w:themeColor="text1"/>
          <w:szCs w:val="22"/>
          <w:shd w:val="clear" w:color="auto" w:fill="FFFFFF"/>
        </w:rPr>
        <w:t xml:space="preserve"> As noted by the applicant,</w:t>
      </w:r>
      <w:r w:rsidR="00A05E61">
        <w:rPr>
          <w:rFonts w:cs="Arial"/>
          <w:color w:val="000000" w:themeColor="text1"/>
          <w:szCs w:val="22"/>
          <w:shd w:val="clear" w:color="auto" w:fill="FFFFFF"/>
        </w:rPr>
        <w:t xml:space="preserve"> there are limited published studies that address the pathogenicity or toxigenic potential of organisms</w:t>
      </w:r>
      <w:r w:rsidR="00975DE9">
        <w:rPr>
          <w:rFonts w:cs="Arial"/>
          <w:color w:val="000000" w:themeColor="text1"/>
          <w:szCs w:val="22"/>
          <w:shd w:val="clear" w:color="auto" w:fill="FFFFFF"/>
        </w:rPr>
        <w:t xml:space="preserve"> only</w:t>
      </w:r>
      <w:r w:rsidR="00A05E61">
        <w:rPr>
          <w:rFonts w:cs="Arial"/>
          <w:color w:val="000000" w:themeColor="text1"/>
          <w:szCs w:val="22"/>
          <w:shd w:val="clear" w:color="auto" w:fill="FFFFFF"/>
        </w:rPr>
        <w:t xml:space="preserve"> identified as </w:t>
      </w:r>
      <w:r w:rsidR="00A05E61" w:rsidRPr="00A05E61">
        <w:rPr>
          <w:rFonts w:cs="Arial"/>
          <w:i/>
          <w:color w:val="000000" w:themeColor="text1"/>
          <w:szCs w:val="22"/>
          <w:shd w:val="clear" w:color="auto" w:fill="FFFFFF"/>
        </w:rPr>
        <w:t>A. f</w:t>
      </w:r>
      <w:r w:rsidR="00A05E61">
        <w:rPr>
          <w:rFonts w:cs="Arial"/>
          <w:i/>
          <w:color w:val="000000" w:themeColor="text1"/>
          <w:szCs w:val="22"/>
          <w:shd w:val="clear" w:color="auto" w:fill="FFFFFF"/>
        </w:rPr>
        <w:t>i</w:t>
      </w:r>
      <w:r w:rsidR="00A05E61" w:rsidRPr="00A05E61">
        <w:rPr>
          <w:rFonts w:cs="Arial"/>
          <w:i/>
          <w:color w:val="000000" w:themeColor="text1"/>
          <w:szCs w:val="22"/>
          <w:shd w:val="clear" w:color="auto" w:fill="FFFFFF"/>
        </w:rPr>
        <w:t>jiensi</w:t>
      </w:r>
      <w:r w:rsidR="00A05E61">
        <w:rPr>
          <w:rFonts w:cs="Arial"/>
          <w:i/>
          <w:color w:val="000000" w:themeColor="text1"/>
          <w:szCs w:val="22"/>
          <w:shd w:val="clear" w:color="auto" w:fill="FFFFFF"/>
        </w:rPr>
        <w:t>s.</w:t>
      </w:r>
      <w:r w:rsidR="00975DE9">
        <w:rPr>
          <w:rFonts w:cs="Arial"/>
          <w:i/>
          <w:color w:val="000000" w:themeColor="text1"/>
          <w:szCs w:val="22"/>
          <w:shd w:val="clear" w:color="auto" w:fill="FFFFFF"/>
        </w:rPr>
        <w:t xml:space="preserve"> </w:t>
      </w:r>
    </w:p>
    <w:p w14:paraId="29B6AE9E" w14:textId="6AE7130A" w:rsidR="00DD5DF1" w:rsidRDefault="00DD5DF1" w:rsidP="009A740E">
      <w:pPr>
        <w:rPr>
          <w:rFonts w:cs="Arial"/>
          <w:color w:val="000000" w:themeColor="text1"/>
          <w:szCs w:val="22"/>
          <w:shd w:val="clear" w:color="auto" w:fill="FFFFFF"/>
        </w:rPr>
      </w:pPr>
    </w:p>
    <w:p w14:paraId="630AD961" w14:textId="4199FAEA" w:rsidR="004A1D0B" w:rsidRPr="001B2121" w:rsidRDefault="00235818" w:rsidP="009A740E">
      <w:pPr>
        <w:rPr>
          <w:rFonts w:cstheme="minorBidi"/>
          <w:color w:val="000000" w:themeColor="text1"/>
          <w:szCs w:val="22"/>
        </w:rPr>
      </w:pPr>
      <w:r>
        <w:rPr>
          <w:rFonts w:cs="Arial"/>
          <w:color w:val="000000" w:themeColor="text1"/>
          <w:szCs w:val="22"/>
          <w:shd w:val="clear" w:color="auto" w:fill="FFFFFF"/>
        </w:rPr>
        <w:t>The species</w:t>
      </w:r>
      <w:r w:rsidR="004A1D0B">
        <w:rPr>
          <w:rFonts w:cs="Arial"/>
          <w:color w:val="000000" w:themeColor="text1"/>
          <w:szCs w:val="22"/>
          <w:shd w:val="clear" w:color="auto" w:fill="FFFFFF"/>
        </w:rPr>
        <w:t xml:space="preserve"> </w:t>
      </w:r>
      <w:r w:rsidR="004A1D0B" w:rsidRPr="008061C0">
        <w:rPr>
          <w:rFonts w:cs="Arial"/>
          <w:i/>
          <w:iCs/>
          <w:color w:val="000000" w:themeColor="text1"/>
          <w:szCs w:val="22"/>
        </w:rPr>
        <w:t>A. brunneoviolaceus</w:t>
      </w:r>
      <w:r w:rsidR="004A1D0B">
        <w:rPr>
          <w:rFonts w:cs="Arial"/>
          <w:iCs/>
          <w:color w:val="000000" w:themeColor="text1"/>
          <w:szCs w:val="22"/>
        </w:rPr>
        <w:t xml:space="preserve"> and </w:t>
      </w:r>
      <w:r w:rsidR="004A1D0B" w:rsidRPr="008061C0">
        <w:rPr>
          <w:i/>
          <w:color w:val="000000" w:themeColor="text1"/>
          <w:szCs w:val="22"/>
        </w:rPr>
        <w:t>A. fijiensis</w:t>
      </w:r>
      <w:r w:rsidR="004A1D0B">
        <w:rPr>
          <w:color w:val="000000" w:themeColor="text1"/>
          <w:szCs w:val="22"/>
        </w:rPr>
        <w:t xml:space="preserve"> </w:t>
      </w:r>
      <w:r w:rsidR="004A1D0B">
        <w:t xml:space="preserve">have </w:t>
      </w:r>
      <w:r>
        <w:t xml:space="preserve">not </w:t>
      </w:r>
      <w:r w:rsidR="004A1D0B">
        <w:t xml:space="preserve">previously been approved </w:t>
      </w:r>
      <w:r w:rsidR="00D0019B">
        <w:t xml:space="preserve">for enzyme production and inclusion in the </w:t>
      </w:r>
      <w:r w:rsidR="00D0019B" w:rsidRPr="00363F0B">
        <w:t>Code. They</w:t>
      </w:r>
      <w:r w:rsidR="004A1D0B" w:rsidRPr="00363F0B">
        <w:t xml:space="preserve"> have a limited history of use in commercial enzyme production although the available data </w:t>
      </w:r>
      <w:r w:rsidR="004A1D0B" w:rsidRPr="00363F0B">
        <w:rPr>
          <w:rFonts w:cs="Arial"/>
          <w:iCs/>
          <w:color w:val="000000" w:themeColor="text1"/>
          <w:szCs w:val="22"/>
        </w:rPr>
        <w:t xml:space="preserve">suggests </w:t>
      </w:r>
      <w:r w:rsidR="00D0019B" w:rsidRPr="00363F0B">
        <w:rPr>
          <w:rFonts w:cs="Arial"/>
          <w:iCs/>
          <w:color w:val="000000" w:themeColor="text1"/>
          <w:szCs w:val="22"/>
        </w:rPr>
        <w:t xml:space="preserve">these species present a </w:t>
      </w:r>
      <w:r w:rsidR="004A1D0B" w:rsidRPr="00363F0B">
        <w:rPr>
          <w:rFonts w:cs="Arial"/>
          <w:iCs/>
          <w:color w:val="000000" w:themeColor="text1"/>
          <w:szCs w:val="22"/>
        </w:rPr>
        <w:t>low risk</w:t>
      </w:r>
      <w:r w:rsidR="004A1D0B" w:rsidRPr="00363F0B">
        <w:t>. It is recommended that the source organism</w:t>
      </w:r>
      <w:r w:rsidR="004A1D0B">
        <w:t xml:space="preserve"> be designated at the strain level rather than the species level. </w:t>
      </w:r>
    </w:p>
    <w:p w14:paraId="5442968F" w14:textId="77777777" w:rsidR="009A740E" w:rsidRPr="008061C0" w:rsidRDefault="009A740E" w:rsidP="009A740E">
      <w:pPr>
        <w:rPr>
          <w:rFonts w:cs="Arial"/>
          <w:color w:val="000000" w:themeColor="text1"/>
          <w:szCs w:val="22"/>
        </w:rPr>
      </w:pPr>
    </w:p>
    <w:p w14:paraId="2EE2CD72" w14:textId="0BBD9C78" w:rsidR="00F174E4" w:rsidRPr="00B27803" w:rsidRDefault="009A740E" w:rsidP="00F174E4">
      <w:pPr>
        <w:rPr>
          <w:color w:val="000000" w:themeColor="text1"/>
          <w:szCs w:val="22"/>
        </w:rPr>
      </w:pPr>
      <w:r w:rsidRPr="008061C0">
        <w:rPr>
          <w:rFonts w:cs="Arial"/>
          <w:color w:val="000000" w:themeColor="text1"/>
          <w:szCs w:val="22"/>
        </w:rPr>
        <w:t xml:space="preserve">The applicant has provided data demonstrating </w:t>
      </w:r>
      <w:r w:rsidRPr="008061C0">
        <w:rPr>
          <w:color w:val="000000" w:themeColor="text1"/>
          <w:szCs w:val="22"/>
        </w:rPr>
        <w:t xml:space="preserve">the absence of pathogenicity and toxicity of </w:t>
      </w:r>
      <w:r w:rsidR="009F6CF4">
        <w:rPr>
          <w:color w:val="000000" w:themeColor="text1"/>
          <w:szCs w:val="22"/>
        </w:rPr>
        <w:lastRenderedPageBreak/>
        <w:t xml:space="preserve">the strain </w:t>
      </w:r>
      <w:r w:rsidRPr="008061C0">
        <w:rPr>
          <w:rFonts w:cs="Arial"/>
          <w:i/>
          <w:iCs/>
          <w:color w:val="000000" w:themeColor="text1"/>
          <w:szCs w:val="22"/>
        </w:rPr>
        <w:t>A</w:t>
      </w:r>
      <w:r w:rsidR="009F6CF4">
        <w:rPr>
          <w:rFonts w:cs="Arial"/>
          <w:i/>
          <w:iCs/>
          <w:color w:val="000000" w:themeColor="text1"/>
          <w:szCs w:val="22"/>
        </w:rPr>
        <w:t>.</w:t>
      </w:r>
      <w:r w:rsidRPr="008061C0">
        <w:rPr>
          <w:rFonts w:cs="Arial"/>
          <w:i/>
          <w:iCs/>
          <w:color w:val="000000" w:themeColor="text1"/>
          <w:szCs w:val="22"/>
        </w:rPr>
        <w:t xml:space="preserve"> fijiensis</w:t>
      </w:r>
      <w:r w:rsidRPr="008061C0">
        <w:rPr>
          <w:rFonts w:cs="Arial"/>
          <w:color w:val="000000" w:themeColor="text1"/>
          <w:szCs w:val="22"/>
        </w:rPr>
        <w:t xml:space="preserve"> </w:t>
      </w:r>
      <w:r w:rsidR="000F7136">
        <w:rPr>
          <w:rFonts w:cs="Arial"/>
          <w:color w:val="000000" w:themeColor="text1"/>
          <w:szCs w:val="22"/>
        </w:rPr>
        <w:t>(</w:t>
      </w:r>
      <w:r w:rsidRPr="008061C0">
        <w:rPr>
          <w:rFonts w:cs="Arial"/>
          <w:color w:val="000000" w:themeColor="text1"/>
          <w:szCs w:val="22"/>
        </w:rPr>
        <w:t>ATCC</w:t>
      </w:r>
      <w:r w:rsidR="000F7136">
        <w:rPr>
          <w:rFonts w:cs="Arial"/>
          <w:color w:val="000000" w:themeColor="text1"/>
          <w:szCs w:val="22"/>
        </w:rPr>
        <w:t xml:space="preserve"> </w:t>
      </w:r>
      <w:r w:rsidRPr="008061C0">
        <w:rPr>
          <w:rFonts w:cs="Arial"/>
          <w:color w:val="000000" w:themeColor="text1"/>
          <w:szCs w:val="22"/>
        </w:rPr>
        <w:t>20611</w:t>
      </w:r>
      <w:r w:rsidR="000F7136">
        <w:rPr>
          <w:rFonts w:cs="Arial"/>
          <w:color w:val="000000" w:themeColor="text1"/>
          <w:szCs w:val="22"/>
        </w:rPr>
        <w:t>)</w:t>
      </w:r>
      <w:r w:rsidRPr="008061C0">
        <w:rPr>
          <w:rFonts w:cs="Arial"/>
          <w:color w:val="000000" w:themeColor="text1"/>
          <w:szCs w:val="22"/>
          <w:vertAlign w:val="superscript"/>
        </w:rPr>
        <w:t xml:space="preserve">  </w:t>
      </w:r>
      <w:r w:rsidRPr="008061C0">
        <w:rPr>
          <w:color w:val="000000" w:themeColor="text1"/>
          <w:szCs w:val="22"/>
        </w:rPr>
        <w:t xml:space="preserve">through orally-inoculating laboratory mice with enzyme producing culture, culture supernatant, and culture precipitate. </w:t>
      </w:r>
      <w:r w:rsidR="00A05E61" w:rsidRPr="008061C0">
        <w:rPr>
          <w:rFonts w:cs="Arial"/>
          <w:color w:val="000000" w:themeColor="text1"/>
          <w:szCs w:val="22"/>
          <w:shd w:val="clear" w:color="auto" w:fill="FFFFFF"/>
        </w:rPr>
        <w:t xml:space="preserve">It is also noted that </w:t>
      </w:r>
      <w:r w:rsidR="000F7136" w:rsidRPr="008061C0">
        <w:rPr>
          <w:rFonts w:cs="Arial"/>
          <w:i/>
          <w:iCs/>
          <w:color w:val="000000" w:themeColor="text1"/>
          <w:szCs w:val="22"/>
        </w:rPr>
        <w:t>A</w:t>
      </w:r>
      <w:r w:rsidR="000F7136">
        <w:rPr>
          <w:rFonts w:cs="Arial"/>
          <w:i/>
          <w:iCs/>
          <w:color w:val="000000" w:themeColor="text1"/>
          <w:szCs w:val="22"/>
        </w:rPr>
        <w:t>.</w:t>
      </w:r>
      <w:r w:rsidR="000F7136" w:rsidRPr="008061C0">
        <w:rPr>
          <w:rFonts w:cs="Arial"/>
          <w:i/>
          <w:iCs/>
          <w:color w:val="000000" w:themeColor="text1"/>
          <w:szCs w:val="22"/>
        </w:rPr>
        <w:t xml:space="preserve"> fijiensis</w:t>
      </w:r>
      <w:r w:rsidR="000F7136" w:rsidRPr="008061C0">
        <w:rPr>
          <w:rFonts w:cs="Arial"/>
          <w:color w:val="000000" w:themeColor="text1"/>
          <w:szCs w:val="22"/>
        </w:rPr>
        <w:t xml:space="preserve"> </w:t>
      </w:r>
      <w:r w:rsidR="000F7136">
        <w:rPr>
          <w:rFonts w:cs="Arial"/>
          <w:color w:val="000000" w:themeColor="text1"/>
          <w:szCs w:val="22"/>
        </w:rPr>
        <w:t>(</w:t>
      </w:r>
      <w:r w:rsidR="000F7136" w:rsidRPr="008061C0">
        <w:rPr>
          <w:rFonts w:cs="Arial"/>
          <w:color w:val="000000" w:themeColor="text1"/>
          <w:szCs w:val="22"/>
        </w:rPr>
        <w:t>ATCC</w:t>
      </w:r>
      <w:r w:rsidR="000F7136">
        <w:rPr>
          <w:rFonts w:cs="Arial"/>
          <w:color w:val="000000" w:themeColor="text1"/>
          <w:szCs w:val="22"/>
        </w:rPr>
        <w:t xml:space="preserve"> </w:t>
      </w:r>
      <w:r w:rsidR="000F7136" w:rsidRPr="008061C0">
        <w:rPr>
          <w:rFonts w:cs="Arial"/>
          <w:color w:val="000000" w:themeColor="text1"/>
          <w:szCs w:val="22"/>
        </w:rPr>
        <w:t>20611</w:t>
      </w:r>
      <w:r w:rsidR="000F7136">
        <w:rPr>
          <w:rFonts w:cs="Arial"/>
          <w:color w:val="000000" w:themeColor="text1"/>
          <w:szCs w:val="22"/>
        </w:rPr>
        <w:t>)</w:t>
      </w:r>
      <w:r w:rsidR="000F7136" w:rsidRPr="008061C0">
        <w:rPr>
          <w:rFonts w:cs="Arial"/>
          <w:color w:val="000000" w:themeColor="text1"/>
          <w:szCs w:val="22"/>
          <w:vertAlign w:val="superscript"/>
        </w:rPr>
        <w:t xml:space="preserve">  </w:t>
      </w:r>
      <w:r w:rsidR="00A05E61" w:rsidRPr="008061C0">
        <w:rPr>
          <w:rFonts w:cs="Arial"/>
          <w:color w:val="000000" w:themeColor="text1"/>
          <w:szCs w:val="22"/>
        </w:rPr>
        <w:t xml:space="preserve">has been rated a Biosafety Level 1 organism based on the </w:t>
      </w:r>
      <w:hyperlink r:id="rId18" w:history="1">
        <w:r w:rsidR="00A05E61" w:rsidRPr="008061C0">
          <w:rPr>
            <w:rStyle w:val="Hyperlink"/>
            <w:rFonts w:cs="Arial"/>
            <w:color w:val="000000" w:themeColor="text1"/>
            <w:szCs w:val="22"/>
          </w:rPr>
          <w:t>United States Public Health Service Guidelines</w:t>
        </w:r>
      </w:hyperlink>
      <w:r w:rsidR="00A05E61" w:rsidRPr="008061C0">
        <w:rPr>
          <w:rStyle w:val="FootnoteReference"/>
          <w:rFonts w:cs="Arial"/>
          <w:color w:val="000000" w:themeColor="text1"/>
          <w:szCs w:val="22"/>
          <w:u w:val="single"/>
        </w:rPr>
        <w:footnoteReference w:id="6"/>
      </w:r>
      <w:r w:rsidR="00A05E61" w:rsidRPr="008061C0">
        <w:rPr>
          <w:rFonts w:cs="Arial"/>
          <w:color w:val="000000" w:themeColor="text1"/>
          <w:szCs w:val="22"/>
        </w:rPr>
        <w:t xml:space="preserve">. </w:t>
      </w:r>
      <w:r w:rsidRPr="008061C0">
        <w:rPr>
          <w:color w:val="000000" w:themeColor="text1"/>
          <w:szCs w:val="22"/>
        </w:rPr>
        <w:t xml:space="preserve">Analysis results from four production batches </w:t>
      </w:r>
      <w:r w:rsidR="009F6CF4">
        <w:rPr>
          <w:color w:val="000000" w:themeColor="text1"/>
          <w:szCs w:val="22"/>
        </w:rPr>
        <w:t xml:space="preserve">provided by the applicant </w:t>
      </w:r>
      <w:r w:rsidRPr="008061C0">
        <w:rPr>
          <w:color w:val="000000" w:themeColor="text1"/>
          <w:szCs w:val="22"/>
        </w:rPr>
        <w:t>demonstrated mycotoxins, including ochratoxin A and aflatoxins, were not detected in the end product. The final product is tested in line with the Joint FAO/WHO Expert Committee on Food Additives (JECFA) requirements for microbially-derived enzyme preparations (JECFA 2006). The manufacturing process used by the applicant also includes appropriate controls to prevent unacceptable microbial contamination, and this was reflected in the batch analyses.</w:t>
      </w:r>
    </w:p>
    <w:p w14:paraId="4DF048B5" w14:textId="2FF24393" w:rsidR="00F174E4" w:rsidRPr="00EC273B" w:rsidRDefault="00F174E4" w:rsidP="00C63704">
      <w:pPr>
        <w:pStyle w:val="Heading2"/>
        <w:rPr>
          <w:lang w:val="en-AU" w:eastAsia="en-AU"/>
        </w:rPr>
      </w:pPr>
      <w:bookmarkStart w:id="47" w:name="_Toc471740086"/>
      <w:bookmarkStart w:id="48" w:name="_Toc505255641"/>
      <w:bookmarkStart w:id="49" w:name="_Toc499282447"/>
      <w:bookmarkStart w:id="50" w:name="_Toc53473523"/>
      <w:bookmarkStart w:id="51" w:name="_Toc85467274"/>
      <w:r w:rsidRPr="00EC273B">
        <w:rPr>
          <w:lang w:val="en-AU"/>
        </w:rPr>
        <w:t>3.3</w:t>
      </w:r>
      <w:r w:rsidRPr="00EC273B">
        <w:rPr>
          <w:lang w:val="en-AU"/>
        </w:rPr>
        <w:tab/>
        <w:t xml:space="preserve">Safety of </w:t>
      </w:r>
      <w:bookmarkEnd w:id="47"/>
      <w:bookmarkEnd w:id="48"/>
      <w:bookmarkEnd w:id="49"/>
      <w:bookmarkEnd w:id="50"/>
      <w:r w:rsidR="0024670C">
        <w:rPr>
          <w:rFonts w:eastAsia="Calibri"/>
          <w:lang w:val="en-AU"/>
        </w:rPr>
        <w:t>beta</w:t>
      </w:r>
      <w:r w:rsidR="000B4510">
        <w:rPr>
          <w:rFonts w:eastAsia="Calibri"/>
          <w:lang w:val="en-AU"/>
        </w:rPr>
        <w:t>-f</w:t>
      </w:r>
      <w:r w:rsidR="00D03077" w:rsidRPr="00EC273B">
        <w:rPr>
          <w:rFonts w:eastAsia="Calibri"/>
          <w:lang w:val="en-AU"/>
        </w:rPr>
        <w:t>ructofuranosidase</w:t>
      </w:r>
      <w:bookmarkEnd w:id="51"/>
    </w:p>
    <w:p w14:paraId="384140F1" w14:textId="00266ECD" w:rsidR="00F174E4" w:rsidRPr="00EC273B" w:rsidRDefault="00F174E4" w:rsidP="00F174E4">
      <w:pPr>
        <w:pStyle w:val="Heading3"/>
        <w:rPr>
          <w:color w:val="auto"/>
          <w:lang w:val="en-AU"/>
        </w:rPr>
      </w:pPr>
      <w:bookmarkStart w:id="52" w:name="_Toc53473524"/>
      <w:bookmarkStart w:id="53" w:name="_Toc85467275"/>
      <w:r w:rsidRPr="00EC273B">
        <w:rPr>
          <w:color w:val="auto"/>
          <w:lang w:val="en-AU"/>
        </w:rPr>
        <w:t>3.3.1</w:t>
      </w:r>
      <w:r w:rsidRPr="00EC273B">
        <w:rPr>
          <w:color w:val="auto"/>
          <w:lang w:val="en-AU"/>
        </w:rPr>
        <w:tab/>
        <w:t>History of safe use of the enzyme</w:t>
      </w:r>
      <w:bookmarkEnd w:id="52"/>
      <w:bookmarkEnd w:id="53"/>
    </w:p>
    <w:p w14:paraId="277F3488" w14:textId="78CEFD88" w:rsidR="007A55A8" w:rsidRPr="00EC273B" w:rsidRDefault="009630DC" w:rsidP="007A55A8">
      <w:pPr>
        <w:rPr>
          <w:lang w:val="en-AU"/>
        </w:rPr>
      </w:pPr>
      <w:bookmarkStart w:id="54" w:name="_Toc53473525"/>
      <w:r>
        <w:rPr>
          <w:lang w:val="en-AU"/>
        </w:rPr>
        <w:t>Beta-f</w:t>
      </w:r>
      <w:r w:rsidR="00A706EA" w:rsidRPr="00EC273B">
        <w:rPr>
          <w:lang w:val="en-AU"/>
        </w:rPr>
        <w:t xml:space="preserve">ructofuranosidase </w:t>
      </w:r>
      <w:r w:rsidR="00FF2E58" w:rsidRPr="00FF2E58">
        <w:rPr>
          <w:lang w:val="en-AU"/>
        </w:rPr>
        <w:t>(EC 3.2.1.26</w:t>
      </w:r>
      <w:r w:rsidR="00FF2E58">
        <w:rPr>
          <w:lang w:val="en-AU"/>
        </w:rPr>
        <w:t>)</w:t>
      </w:r>
      <w:r w:rsidR="00FF2E58" w:rsidRPr="00FF2E58">
        <w:rPr>
          <w:lang w:val="en-AU"/>
        </w:rPr>
        <w:t xml:space="preserve"> </w:t>
      </w:r>
      <w:r w:rsidR="00A706EA" w:rsidRPr="00EC273B">
        <w:rPr>
          <w:lang w:val="en-AU"/>
        </w:rPr>
        <w:t xml:space="preserve">from </w:t>
      </w:r>
      <w:r w:rsidR="00FF2E58" w:rsidRPr="00FF2E58">
        <w:rPr>
          <w:i/>
          <w:lang w:val="en-AU"/>
        </w:rPr>
        <w:t xml:space="preserve">Aspergillus </w:t>
      </w:r>
      <w:r w:rsidR="00FF2E58">
        <w:rPr>
          <w:i/>
          <w:lang w:val="en-AU"/>
        </w:rPr>
        <w:t>niger</w:t>
      </w:r>
      <w:r w:rsidR="00FF2E58">
        <w:rPr>
          <w:lang w:val="en-AU"/>
        </w:rPr>
        <w:t xml:space="preserve"> (ATCC 20611</w:t>
      </w:r>
      <w:r w:rsidR="00A706EA" w:rsidRPr="00EC273B">
        <w:rPr>
          <w:lang w:val="en-AU"/>
        </w:rPr>
        <w:t xml:space="preserve">) has </w:t>
      </w:r>
      <w:r w:rsidR="005750F6">
        <w:rPr>
          <w:lang w:val="en-AU"/>
        </w:rPr>
        <w:t xml:space="preserve">been </w:t>
      </w:r>
      <w:r w:rsidR="00FF2E58">
        <w:rPr>
          <w:lang w:val="en-AU"/>
        </w:rPr>
        <w:t xml:space="preserve">approved for use </w:t>
      </w:r>
      <w:r w:rsidR="005750F6">
        <w:rPr>
          <w:lang w:val="en-AU"/>
        </w:rPr>
        <w:t xml:space="preserve">in Australia and New Zealand </w:t>
      </w:r>
      <w:r w:rsidR="00FF2E58">
        <w:rPr>
          <w:lang w:val="en-AU"/>
        </w:rPr>
        <w:t xml:space="preserve">as a </w:t>
      </w:r>
      <w:r w:rsidR="005750F6">
        <w:rPr>
          <w:lang w:val="en-AU"/>
        </w:rPr>
        <w:t xml:space="preserve">food </w:t>
      </w:r>
      <w:r w:rsidR="00FF2E58">
        <w:rPr>
          <w:lang w:val="en-AU"/>
        </w:rPr>
        <w:t>processing aid for the</w:t>
      </w:r>
      <w:r w:rsidR="00501F8D">
        <w:rPr>
          <w:lang w:val="en-AU"/>
        </w:rPr>
        <w:t xml:space="preserve"> production of</w:t>
      </w:r>
      <w:r w:rsidR="00FF2E58">
        <w:rPr>
          <w:lang w:val="en-AU"/>
        </w:rPr>
        <w:t xml:space="preserve"> FOS</w:t>
      </w:r>
      <w:r w:rsidR="005750F6">
        <w:rPr>
          <w:lang w:val="en-AU"/>
        </w:rPr>
        <w:t xml:space="preserve"> since 2013</w:t>
      </w:r>
      <w:r w:rsidR="00FF2E58">
        <w:rPr>
          <w:lang w:val="en-AU"/>
        </w:rPr>
        <w:t xml:space="preserve">. </w:t>
      </w:r>
      <w:r w:rsidR="00F50A61">
        <w:rPr>
          <w:lang w:val="en-AU"/>
        </w:rPr>
        <w:t>Additionally</w:t>
      </w:r>
      <w:r w:rsidR="00446EFE">
        <w:rPr>
          <w:i/>
          <w:lang w:val="en-AU"/>
        </w:rPr>
        <w:t xml:space="preserve">, </w:t>
      </w:r>
      <w:r w:rsidRPr="009630DC">
        <w:rPr>
          <w:lang w:val="en-AU"/>
        </w:rPr>
        <w:t>beta</w:t>
      </w:r>
      <w:r w:rsidR="00A706EA" w:rsidRPr="00EC273B">
        <w:rPr>
          <w:lang w:val="en-AU"/>
        </w:rPr>
        <w:t>-</w:t>
      </w:r>
      <w:r>
        <w:rPr>
          <w:lang w:val="en-AU"/>
        </w:rPr>
        <w:t>f</w:t>
      </w:r>
      <w:r w:rsidR="00A706EA" w:rsidRPr="00EC273B">
        <w:rPr>
          <w:lang w:val="en-AU"/>
        </w:rPr>
        <w:t xml:space="preserve">ructofuranosidase </w:t>
      </w:r>
      <w:r w:rsidR="00F50A61">
        <w:rPr>
          <w:lang w:val="en-AU"/>
        </w:rPr>
        <w:t>from</w:t>
      </w:r>
      <w:r w:rsidR="007A55A8" w:rsidRPr="00EC273B">
        <w:rPr>
          <w:lang w:val="en-AU"/>
        </w:rPr>
        <w:t xml:space="preserve"> </w:t>
      </w:r>
      <w:r w:rsidR="00446EFE" w:rsidRPr="00446EFE">
        <w:rPr>
          <w:i/>
          <w:lang w:val="en-AU"/>
        </w:rPr>
        <w:t>Saccharomyces cerevisiae</w:t>
      </w:r>
      <w:r w:rsidR="00446EFE" w:rsidRPr="00446EFE">
        <w:rPr>
          <w:lang w:val="en-AU"/>
        </w:rPr>
        <w:t xml:space="preserve"> </w:t>
      </w:r>
      <w:r w:rsidR="007A55A8" w:rsidRPr="00EC273B">
        <w:rPr>
          <w:lang w:val="en-AU"/>
        </w:rPr>
        <w:t>is permitted as a food processing aid in Australia and New Zealand.</w:t>
      </w:r>
      <w:r w:rsidR="00BD231F">
        <w:rPr>
          <w:lang w:val="en-AU"/>
        </w:rPr>
        <w:t xml:space="preserve"> </w:t>
      </w:r>
      <w:r>
        <w:rPr>
          <w:lang w:val="en-AU"/>
        </w:rPr>
        <w:t>B</w:t>
      </w:r>
      <w:r w:rsidRPr="009630DC">
        <w:rPr>
          <w:lang w:val="en-AU"/>
        </w:rPr>
        <w:t>eta</w:t>
      </w:r>
      <w:r w:rsidRPr="00EC273B">
        <w:rPr>
          <w:lang w:val="en-AU"/>
        </w:rPr>
        <w:t>-</w:t>
      </w:r>
      <w:r>
        <w:rPr>
          <w:lang w:val="en-AU"/>
        </w:rPr>
        <w:t>f</w:t>
      </w:r>
      <w:r w:rsidR="00720396" w:rsidRPr="00EC273B">
        <w:rPr>
          <w:lang w:val="en-AU"/>
        </w:rPr>
        <w:t xml:space="preserve">ructofuranosidase from </w:t>
      </w:r>
      <w:r w:rsidR="00864140">
        <w:rPr>
          <w:i/>
          <w:lang w:val="en-AU"/>
        </w:rPr>
        <w:t>A.</w:t>
      </w:r>
      <w:r w:rsidR="00720396">
        <w:rPr>
          <w:i/>
          <w:lang w:val="en-AU"/>
        </w:rPr>
        <w:t xml:space="preserve"> fijiensis</w:t>
      </w:r>
      <w:r w:rsidR="00720396">
        <w:rPr>
          <w:lang w:val="en-AU"/>
        </w:rPr>
        <w:t xml:space="preserve"> (ATCC 20611</w:t>
      </w:r>
      <w:r w:rsidR="00720396" w:rsidRPr="00EC273B">
        <w:rPr>
          <w:lang w:val="en-AU"/>
        </w:rPr>
        <w:t xml:space="preserve">) has </w:t>
      </w:r>
      <w:r w:rsidR="00720396">
        <w:rPr>
          <w:lang w:val="en-AU"/>
        </w:rPr>
        <w:t>been approved for use</w:t>
      </w:r>
      <w:r w:rsidR="001C5F1B">
        <w:rPr>
          <w:lang w:val="en-AU"/>
        </w:rPr>
        <w:t xml:space="preserve"> in Canada, France and Japan</w:t>
      </w:r>
      <w:r w:rsidR="00BD231F">
        <w:rPr>
          <w:lang w:val="en-AU"/>
        </w:rPr>
        <w:t>.</w:t>
      </w:r>
    </w:p>
    <w:p w14:paraId="560EFA14" w14:textId="77777777" w:rsidR="007A55A8" w:rsidRPr="00EC273B" w:rsidRDefault="007A55A8" w:rsidP="007A55A8">
      <w:pPr>
        <w:rPr>
          <w:lang w:val="en-AU"/>
        </w:rPr>
      </w:pPr>
    </w:p>
    <w:p w14:paraId="01383336" w14:textId="25B85286" w:rsidR="00A33CC3" w:rsidRDefault="005750F6" w:rsidP="00A33CC3">
      <w:pPr>
        <w:rPr>
          <w:rFonts w:ascii="CIDFont+F1" w:eastAsia="Calibri" w:hAnsi="CIDFont+F1" w:cs="CIDFont+F1"/>
          <w:lang w:val="en-AU"/>
        </w:rPr>
      </w:pPr>
      <w:r>
        <w:rPr>
          <w:lang w:val="en-AU"/>
        </w:rPr>
        <w:t xml:space="preserve">FSANZ’s assessment of </w:t>
      </w:r>
      <w:r w:rsidR="00D53E5E">
        <w:rPr>
          <w:lang w:val="en-AU"/>
        </w:rPr>
        <w:t xml:space="preserve">A1055 concluded that there were no safety concerns with the proposed use of </w:t>
      </w:r>
      <w:r w:rsidR="009630DC" w:rsidRPr="009630DC">
        <w:rPr>
          <w:lang w:val="en-AU"/>
        </w:rPr>
        <w:t>beta</w:t>
      </w:r>
      <w:r w:rsidR="009630DC" w:rsidRPr="00EC273B">
        <w:rPr>
          <w:lang w:val="en-AU"/>
        </w:rPr>
        <w:t>-</w:t>
      </w:r>
      <w:r w:rsidR="009630DC">
        <w:rPr>
          <w:lang w:val="en-AU"/>
        </w:rPr>
        <w:t>f</w:t>
      </w:r>
      <w:r w:rsidR="00D53E5E" w:rsidRPr="00EC273B">
        <w:rPr>
          <w:lang w:val="en-AU"/>
        </w:rPr>
        <w:t xml:space="preserve">ructofuranosidase </w:t>
      </w:r>
      <w:r w:rsidR="00D53E5E">
        <w:rPr>
          <w:lang w:val="en-AU"/>
        </w:rPr>
        <w:t xml:space="preserve">from </w:t>
      </w:r>
      <w:r w:rsidR="00D53E5E" w:rsidRPr="00D53E5E">
        <w:rPr>
          <w:i/>
          <w:lang w:val="en-AU"/>
        </w:rPr>
        <w:t>A. niger</w:t>
      </w:r>
      <w:r w:rsidR="00D53E5E">
        <w:rPr>
          <w:lang w:val="en-AU"/>
        </w:rPr>
        <w:t xml:space="preserve"> as a proces</w:t>
      </w:r>
      <w:r w:rsidR="000F47B9">
        <w:rPr>
          <w:lang w:val="en-AU"/>
        </w:rPr>
        <w:t xml:space="preserve">sing aid in the production of </w:t>
      </w:r>
      <w:r w:rsidR="00D53E5E">
        <w:rPr>
          <w:lang w:val="en-AU"/>
        </w:rPr>
        <w:t xml:space="preserve">FOS. </w:t>
      </w:r>
      <w:r w:rsidR="00D53E5E">
        <w:rPr>
          <w:rFonts w:ascii="CIDFont+F1" w:eastAsia="Calibri" w:hAnsi="CIDFont+F1" w:cs="CIDFont+F1"/>
          <w:lang w:val="en-AU"/>
        </w:rPr>
        <w:t xml:space="preserve">FSANZ noted that the source organism has a long history of safe use in the production of food-grade enzymes, and neither the source organism or </w:t>
      </w:r>
      <w:r w:rsidR="009630DC" w:rsidRPr="009630DC">
        <w:rPr>
          <w:lang w:val="en-AU"/>
        </w:rPr>
        <w:t>beta</w:t>
      </w:r>
      <w:r w:rsidR="009630DC" w:rsidRPr="00EC273B">
        <w:rPr>
          <w:lang w:val="en-AU"/>
        </w:rPr>
        <w:t>-</w:t>
      </w:r>
      <w:r w:rsidR="009630DC">
        <w:rPr>
          <w:lang w:val="en-AU"/>
        </w:rPr>
        <w:t>f</w:t>
      </w:r>
      <w:r w:rsidR="00D53E5E" w:rsidRPr="00EC273B">
        <w:rPr>
          <w:lang w:val="en-AU"/>
        </w:rPr>
        <w:t xml:space="preserve">ructofuranosidase </w:t>
      </w:r>
      <w:r w:rsidR="00D53E5E">
        <w:rPr>
          <w:lang w:val="en-AU"/>
        </w:rPr>
        <w:t xml:space="preserve">are detectable </w:t>
      </w:r>
      <w:r w:rsidR="000F47B9">
        <w:rPr>
          <w:lang w:val="en-AU"/>
        </w:rPr>
        <w:t xml:space="preserve">in the final </w:t>
      </w:r>
      <w:r w:rsidR="007A55A8" w:rsidRPr="00EC273B">
        <w:rPr>
          <w:lang w:val="en-AU"/>
        </w:rPr>
        <w:t xml:space="preserve">FOS preparation. </w:t>
      </w:r>
      <w:r w:rsidR="00D53E5E">
        <w:rPr>
          <w:rFonts w:ascii="CIDFont+F1" w:eastAsia="Calibri" w:hAnsi="CIDFont+F1" w:cs="CIDFont+F1"/>
          <w:lang w:val="en-AU"/>
        </w:rPr>
        <w:t xml:space="preserve">An </w:t>
      </w:r>
      <w:r w:rsidR="00A33CC3">
        <w:rPr>
          <w:rFonts w:ascii="CIDFont+F1" w:eastAsia="Calibri" w:hAnsi="CIDFont+F1" w:cs="CIDFont+F1"/>
          <w:lang w:val="en-AU"/>
        </w:rPr>
        <w:t xml:space="preserve">acceptable daily intake (ADI) of </w:t>
      </w:r>
      <w:r w:rsidR="00A33CC3" w:rsidRPr="00737802">
        <w:rPr>
          <w:rFonts w:ascii="CIDFont+F1" w:eastAsia="Calibri" w:hAnsi="CIDFont+F1" w:cs="CIDFont+F1"/>
          <w:lang w:val="en-AU"/>
        </w:rPr>
        <w:t xml:space="preserve">‘not specified’ </w:t>
      </w:r>
      <w:r w:rsidR="00A33CC3">
        <w:rPr>
          <w:rFonts w:ascii="CIDFont+F1" w:eastAsia="Calibri" w:hAnsi="CIDFont+F1" w:cs="CIDFont+F1"/>
          <w:lang w:val="en-AU"/>
        </w:rPr>
        <w:t>was considered appropriate.</w:t>
      </w:r>
    </w:p>
    <w:p w14:paraId="28AA57FA" w14:textId="34260664" w:rsidR="00086789" w:rsidRDefault="00086789" w:rsidP="00A33CC3">
      <w:pPr>
        <w:rPr>
          <w:lang w:val="en-AU" w:eastAsia="en-AU" w:bidi="ar-SA"/>
        </w:rPr>
      </w:pPr>
    </w:p>
    <w:p w14:paraId="31CFEAB1" w14:textId="2A2F3E38" w:rsidR="00086789" w:rsidRPr="00EC273B" w:rsidRDefault="00086789" w:rsidP="00A33CC3">
      <w:pPr>
        <w:rPr>
          <w:lang w:val="en-AU" w:eastAsia="en-AU" w:bidi="ar-SA"/>
        </w:rPr>
      </w:pPr>
      <w:r>
        <w:rPr>
          <w:lang w:val="en-AU" w:eastAsia="en-AU" w:bidi="ar-SA"/>
        </w:rPr>
        <w:t xml:space="preserve">Since FSANZ’s previous assessment, new toxicity and genotoxicity studies with </w:t>
      </w:r>
      <w:r w:rsidR="000B4510" w:rsidRPr="009630DC">
        <w:rPr>
          <w:lang w:val="en-AU"/>
        </w:rPr>
        <w:t>beta</w:t>
      </w:r>
      <w:r w:rsidR="000B4510" w:rsidRPr="00EC273B">
        <w:rPr>
          <w:lang w:val="en-AU"/>
        </w:rPr>
        <w:t>-</w:t>
      </w:r>
      <w:r w:rsidR="000B4510">
        <w:rPr>
          <w:lang w:val="en-AU"/>
        </w:rPr>
        <w:t>f</w:t>
      </w:r>
      <w:r w:rsidRPr="00EC273B">
        <w:rPr>
          <w:rFonts w:ascii="CIDFont+F1" w:eastAsia="Calibri" w:hAnsi="CIDFont+F1" w:cs="CIDFont+F1"/>
          <w:lang w:val="en-AU"/>
        </w:rPr>
        <w:t>ructofuranosidase</w:t>
      </w:r>
      <w:r>
        <w:rPr>
          <w:rFonts w:ascii="CIDFont+F1" w:eastAsia="Calibri" w:hAnsi="CIDFont+F1" w:cs="CIDFont+F1"/>
          <w:lang w:val="en-AU"/>
        </w:rPr>
        <w:t xml:space="preserve"> from </w:t>
      </w:r>
      <w:r w:rsidRPr="00086789">
        <w:rPr>
          <w:rFonts w:ascii="CIDFont+F1" w:eastAsia="Calibri" w:hAnsi="CIDFont+F1" w:cs="CIDFont+F1"/>
          <w:i/>
          <w:lang w:val="en-AU"/>
        </w:rPr>
        <w:t>A. fijiensis</w:t>
      </w:r>
      <w:r w:rsidR="00F50A61">
        <w:rPr>
          <w:lang w:val="en-AU"/>
        </w:rPr>
        <w:t xml:space="preserve"> (ATCC 20611</w:t>
      </w:r>
      <w:r w:rsidR="00F50A61" w:rsidRPr="00EC273B">
        <w:rPr>
          <w:lang w:val="en-AU"/>
        </w:rPr>
        <w:t xml:space="preserve">) </w:t>
      </w:r>
      <w:r>
        <w:rPr>
          <w:rFonts w:ascii="CIDFont+F1" w:eastAsia="Calibri" w:hAnsi="CIDFont+F1" w:cs="CIDFont+F1"/>
          <w:lang w:val="en-AU"/>
        </w:rPr>
        <w:t xml:space="preserve">have become available, and are reviewed below. </w:t>
      </w:r>
    </w:p>
    <w:p w14:paraId="02141370" w14:textId="723240F4" w:rsidR="00F174E4" w:rsidRPr="00EC273B" w:rsidRDefault="00F174E4" w:rsidP="00F174E4">
      <w:pPr>
        <w:pStyle w:val="Heading3"/>
        <w:rPr>
          <w:color w:val="auto"/>
          <w:lang w:val="en-AU"/>
        </w:rPr>
      </w:pPr>
      <w:bookmarkStart w:id="55" w:name="_Toc53473526"/>
      <w:bookmarkStart w:id="56" w:name="_Toc85467276"/>
      <w:bookmarkEnd w:id="54"/>
      <w:r w:rsidRPr="00EC273B">
        <w:rPr>
          <w:color w:val="auto"/>
          <w:lang w:val="en-AU"/>
        </w:rPr>
        <w:t>3.3.</w:t>
      </w:r>
      <w:r w:rsidR="00C42CDD">
        <w:rPr>
          <w:color w:val="auto"/>
          <w:lang w:val="en-AU"/>
        </w:rPr>
        <w:t>2</w:t>
      </w:r>
      <w:r w:rsidRPr="00EC273B">
        <w:rPr>
          <w:color w:val="auto"/>
          <w:lang w:val="en-AU"/>
        </w:rPr>
        <w:tab/>
        <w:t>Toxicology studies in animals</w:t>
      </w:r>
      <w:bookmarkEnd w:id="55"/>
      <w:bookmarkEnd w:id="56"/>
    </w:p>
    <w:p w14:paraId="573A62F0" w14:textId="2C976789" w:rsidR="00F174E4" w:rsidRPr="000B4510" w:rsidRDefault="00F174E4" w:rsidP="00F174E4">
      <w:pPr>
        <w:rPr>
          <w:lang w:val="en-AU" w:eastAsia="en-AU" w:bidi="ar-SA"/>
        </w:rPr>
      </w:pPr>
      <w:r w:rsidRPr="00E225FF">
        <w:rPr>
          <w:i/>
          <w:lang w:val="en-AU" w:eastAsia="en-AU" w:bidi="ar-SA"/>
        </w:rPr>
        <w:t>90-day repeated dose oral toxicity study in rats (</w:t>
      </w:r>
      <w:r w:rsidR="000B4510">
        <w:rPr>
          <w:i/>
          <w:lang w:val="en-AU" w:eastAsia="en-AU" w:bidi="ar-SA"/>
        </w:rPr>
        <w:t>BoZo Research Centre I</w:t>
      </w:r>
      <w:r w:rsidR="00650FAB">
        <w:rPr>
          <w:i/>
          <w:lang w:val="en-AU" w:eastAsia="en-AU" w:bidi="ar-SA"/>
        </w:rPr>
        <w:t>nc.</w:t>
      </w:r>
      <w:r w:rsidR="007356BC" w:rsidRPr="00E225FF">
        <w:rPr>
          <w:i/>
          <w:lang w:val="en-AU" w:eastAsia="en-AU" w:bidi="ar-SA"/>
        </w:rPr>
        <w:t>, 2014</w:t>
      </w:r>
      <w:r w:rsidRPr="00E225FF">
        <w:rPr>
          <w:i/>
          <w:lang w:val="en-AU" w:eastAsia="en-AU" w:bidi="ar-SA"/>
        </w:rPr>
        <w:t xml:space="preserve">). </w:t>
      </w:r>
      <w:r w:rsidRPr="000B4510">
        <w:rPr>
          <w:i/>
          <w:lang w:val="en-AU" w:eastAsia="en-AU" w:bidi="ar-SA"/>
        </w:rPr>
        <w:t>Regulatory Status: GLP; conducted according to OECD Test Guideline (TG) 408</w:t>
      </w:r>
      <w:r w:rsidR="000B4510" w:rsidRPr="000B4510">
        <w:rPr>
          <w:i/>
          <w:lang w:val="en-AU" w:eastAsia="en-AU" w:bidi="ar-SA"/>
        </w:rPr>
        <w:t>.</w:t>
      </w:r>
      <w:r w:rsidRPr="000B4510">
        <w:rPr>
          <w:lang w:val="en-AU" w:eastAsia="en-AU" w:bidi="ar-SA"/>
        </w:rPr>
        <w:t xml:space="preserve"> </w:t>
      </w:r>
    </w:p>
    <w:p w14:paraId="27C5D4DE" w14:textId="776C6A41" w:rsidR="005C55CF" w:rsidRPr="000B4510" w:rsidRDefault="005C55CF" w:rsidP="005C55CF">
      <w:pPr>
        <w:rPr>
          <w:lang w:val="en-AU" w:eastAsia="en-AU" w:bidi="ar-SA"/>
        </w:rPr>
      </w:pPr>
    </w:p>
    <w:p w14:paraId="43008F38" w14:textId="44F0E745" w:rsidR="00902C2C" w:rsidRPr="00EC273B" w:rsidRDefault="0005250B" w:rsidP="00902C2C">
      <w:pPr>
        <w:rPr>
          <w:szCs w:val="20"/>
          <w:lang w:val="en-AU"/>
        </w:rPr>
      </w:pPr>
      <w:r w:rsidRPr="000B4510">
        <w:rPr>
          <w:lang w:val="en-AU" w:eastAsia="en-AU" w:bidi="ar-SA"/>
        </w:rPr>
        <w:t xml:space="preserve">The test item was </w:t>
      </w:r>
      <w:r w:rsidR="000B4510" w:rsidRPr="009630DC">
        <w:rPr>
          <w:lang w:val="en-AU"/>
        </w:rPr>
        <w:t>beta</w:t>
      </w:r>
      <w:r w:rsidR="000B4510" w:rsidRPr="00EC273B">
        <w:rPr>
          <w:lang w:val="en-AU"/>
        </w:rPr>
        <w:t>-</w:t>
      </w:r>
      <w:r w:rsidR="000B4510">
        <w:rPr>
          <w:lang w:val="en-AU"/>
        </w:rPr>
        <w:t>f</w:t>
      </w:r>
      <w:r w:rsidR="00F82FF0" w:rsidRPr="000B4510">
        <w:rPr>
          <w:szCs w:val="20"/>
          <w:lang w:val="en-AU"/>
        </w:rPr>
        <w:t>ructofuranosidase</w:t>
      </w:r>
      <w:r w:rsidRPr="000B4510">
        <w:rPr>
          <w:szCs w:val="20"/>
          <w:lang w:val="en-AU"/>
        </w:rPr>
        <w:t>,</w:t>
      </w:r>
      <w:r w:rsidR="00F82FF0" w:rsidRPr="000B4510">
        <w:rPr>
          <w:szCs w:val="20"/>
          <w:lang w:val="en-AU"/>
        </w:rPr>
        <w:t xml:space="preserve"> provided as a spray-dried powder </w:t>
      </w:r>
      <w:r w:rsidR="00315D4D" w:rsidRPr="000B4510">
        <w:rPr>
          <w:szCs w:val="20"/>
          <w:lang w:val="en-AU"/>
        </w:rPr>
        <w:t>that</w:t>
      </w:r>
      <w:r w:rsidR="005F75F1" w:rsidRPr="000B4510">
        <w:rPr>
          <w:szCs w:val="20"/>
          <w:lang w:val="en-AU"/>
        </w:rPr>
        <w:t xml:space="preserve"> was 9</w:t>
      </w:r>
      <w:r w:rsidR="00BD231F" w:rsidRPr="000B4510">
        <w:rPr>
          <w:szCs w:val="20"/>
          <w:lang w:val="en-AU"/>
        </w:rPr>
        <w:t>2</w:t>
      </w:r>
      <w:r w:rsidR="005A053D" w:rsidRPr="000B4510">
        <w:rPr>
          <w:szCs w:val="20"/>
          <w:lang w:val="en-AU"/>
        </w:rPr>
        <w:t xml:space="preserve">% </w:t>
      </w:r>
      <w:r w:rsidR="005A053D" w:rsidRPr="00EC273B">
        <w:rPr>
          <w:szCs w:val="20"/>
          <w:lang w:val="en-AU"/>
        </w:rPr>
        <w:t>(w/</w:t>
      </w:r>
      <w:r w:rsidR="00902C2C">
        <w:rPr>
          <w:szCs w:val="20"/>
          <w:lang w:val="en-AU"/>
        </w:rPr>
        <w:t xml:space="preserve">w) </w:t>
      </w:r>
      <w:r>
        <w:rPr>
          <w:szCs w:val="20"/>
          <w:lang w:val="en-AU"/>
        </w:rPr>
        <w:t>total organic solids (</w:t>
      </w:r>
      <w:r w:rsidR="00902C2C">
        <w:rPr>
          <w:szCs w:val="20"/>
          <w:lang w:val="en-AU"/>
        </w:rPr>
        <w:t>TOS</w:t>
      </w:r>
      <w:r>
        <w:rPr>
          <w:szCs w:val="20"/>
          <w:lang w:val="en-AU"/>
        </w:rPr>
        <w:t>)</w:t>
      </w:r>
      <w:r w:rsidR="00902C2C">
        <w:rPr>
          <w:szCs w:val="20"/>
          <w:lang w:val="en-AU"/>
        </w:rPr>
        <w:t xml:space="preserve"> and 10.8% (w/w) protein. </w:t>
      </w:r>
      <w:r>
        <w:rPr>
          <w:szCs w:val="20"/>
          <w:lang w:val="en-AU"/>
        </w:rPr>
        <w:t>The a</w:t>
      </w:r>
      <w:r w:rsidR="00902C2C">
        <w:rPr>
          <w:szCs w:val="20"/>
          <w:lang w:val="en-AU"/>
        </w:rPr>
        <w:t>pplicant</w:t>
      </w:r>
      <w:r w:rsidR="00902C2C" w:rsidRPr="00EC273B">
        <w:rPr>
          <w:szCs w:val="20"/>
          <w:lang w:val="en-AU"/>
        </w:rPr>
        <w:t xml:space="preserve"> confirmed that </w:t>
      </w:r>
      <w:r>
        <w:rPr>
          <w:szCs w:val="20"/>
          <w:lang w:val="en-AU"/>
        </w:rPr>
        <w:t>the enzyme tested</w:t>
      </w:r>
      <w:r w:rsidR="00902C2C">
        <w:rPr>
          <w:lang w:val="en-AU" w:eastAsia="en-AU" w:bidi="ar-SA"/>
        </w:rPr>
        <w:t xml:space="preserve"> in this study</w:t>
      </w:r>
      <w:r w:rsidR="00902C2C" w:rsidRPr="00EC273B">
        <w:rPr>
          <w:lang w:val="en-AU" w:eastAsia="en-AU" w:bidi="ar-SA"/>
        </w:rPr>
        <w:t xml:space="preserve"> was </w:t>
      </w:r>
      <w:r w:rsidR="007F22FD">
        <w:rPr>
          <w:lang w:val="en-AU" w:eastAsia="en-AU" w:bidi="ar-SA"/>
        </w:rPr>
        <w:t xml:space="preserve">representative </w:t>
      </w:r>
      <w:r w:rsidR="00902C2C">
        <w:rPr>
          <w:lang w:val="en-AU" w:eastAsia="en-AU" w:bidi="ar-SA"/>
        </w:rPr>
        <w:t xml:space="preserve">of the </w:t>
      </w:r>
      <w:r w:rsidR="001D1561">
        <w:rPr>
          <w:lang w:val="en-AU" w:eastAsia="en-AU" w:bidi="ar-SA"/>
        </w:rPr>
        <w:t>commercial enzyme product</w:t>
      </w:r>
      <w:r w:rsidR="00902C2C">
        <w:rPr>
          <w:lang w:val="en-AU" w:eastAsia="en-AU" w:bidi="ar-SA"/>
        </w:rPr>
        <w:t>.</w:t>
      </w:r>
    </w:p>
    <w:p w14:paraId="1A38B4AF" w14:textId="77777777" w:rsidR="00D031FE" w:rsidRPr="00EC273B" w:rsidRDefault="00D031FE" w:rsidP="005C55CF">
      <w:pPr>
        <w:rPr>
          <w:szCs w:val="20"/>
          <w:lang w:val="en-AU"/>
        </w:rPr>
      </w:pPr>
    </w:p>
    <w:p w14:paraId="28874388" w14:textId="1F78B49D" w:rsidR="005C55CF" w:rsidRPr="00627E32" w:rsidRDefault="000B4510" w:rsidP="005C55CF">
      <w:pPr>
        <w:rPr>
          <w:lang w:val="en-AU" w:eastAsia="en-AU" w:bidi="ar-SA"/>
        </w:rPr>
      </w:pPr>
      <w:r>
        <w:rPr>
          <w:lang w:val="en-AU"/>
        </w:rPr>
        <w:t>B</w:t>
      </w:r>
      <w:r w:rsidRPr="009630DC">
        <w:rPr>
          <w:lang w:val="en-AU"/>
        </w:rPr>
        <w:t>eta</w:t>
      </w:r>
      <w:r w:rsidRPr="00EC273B">
        <w:rPr>
          <w:lang w:val="en-AU"/>
        </w:rPr>
        <w:t>-</w:t>
      </w:r>
      <w:r>
        <w:rPr>
          <w:lang w:val="en-AU"/>
        </w:rPr>
        <w:t>f</w:t>
      </w:r>
      <w:r w:rsidR="00261E36" w:rsidRPr="00627E32">
        <w:rPr>
          <w:szCs w:val="20"/>
          <w:lang w:val="en-AU"/>
        </w:rPr>
        <w:t>ructofuranosidase</w:t>
      </w:r>
      <w:r w:rsidR="00E75CEA" w:rsidRPr="00627E32">
        <w:rPr>
          <w:szCs w:val="20"/>
          <w:lang w:val="en-AU"/>
        </w:rPr>
        <w:t xml:space="preserve"> </w:t>
      </w:r>
      <w:r w:rsidR="005C55CF" w:rsidRPr="00627E32">
        <w:rPr>
          <w:lang w:val="en-AU" w:eastAsia="en-AU" w:bidi="ar-SA"/>
        </w:rPr>
        <w:t xml:space="preserve">was administered to </w:t>
      </w:r>
      <w:r w:rsidR="00E75CEA" w:rsidRPr="00627E32">
        <w:rPr>
          <w:lang w:val="en-AU" w:eastAsia="en-AU" w:bidi="ar-SA"/>
        </w:rPr>
        <w:t>Sprague-Dawley SPF Crl:CD(SD)</w:t>
      </w:r>
      <w:r w:rsidR="005C55CF" w:rsidRPr="00627E32">
        <w:rPr>
          <w:lang w:val="en-AU" w:eastAsia="en-AU" w:bidi="ar-SA"/>
        </w:rPr>
        <w:t xml:space="preserve"> </w:t>
      </w:r>
      <w:r w:rsidR="00E75CEA" w:rsidRPr="00627E32">
        <w:rPr>
          <w:lang w:val="en-AU" w:eastAsia="en-AU" w:bidi="ar-SA"/>
        </w:rPr>
        <w:t xml:space="preserve">rats </w:t>
      </w:r>
      <w:r w:rsidR="005C55CF" w:rsidRPr="00627E32">
        <w:rPr>
          <w:lang w:val="en-AU" w:eastAsia="en-AU" w:bidi="ar-SA"/>
        </w:rPr>
        <w:t>(10</w:t>
      </w:r>
      <w:r w:rsidR="00D031FE" w:rsidRPr="00627E32">
        <w:rPr>
          <w:lang w:val="en-AU" w:eastAsia="en-AU" w:bidi="ar-SA"/>
        </w:rPr>
        <w:t xml:space="preserve"> rats </w:t>
      </w:r>
      <w:r w:rsidR="005C55CF" w:rsidRPr="00627E32">
        <w:rPr>
          <w:lang w:val="en-AU" w:eastAsia="en-AU" w:bidi="ar-SA"/>
        </w:rPr>
        <w:t>/</w:t>
      </w:r>
      <w:r w:rsidR="00D031FE" w:rsidRPr="00627E32">
        <w:rPr>
          <w:lang w:val="en-AU" w:eastAsia="en-AU" w:bidi="ar-SA"/>
        </w:rPr>
        <w:t xml:space="preserve"> </w:t>
      </w:r>
      <w:r w:rsidR="005C55CF" w:rsidRPr="00627E32">
        <w:rPr>
          <w:lang w:val="en-AU" w:eastAsia="en-AU" w:bidi="ar-SA"/>
        </w:rPr>
        <w:t>sex /</w:t>
      </w:r>
      <w:r w:rsidR="00D031FE" w:rsidRPr="00627E32">
        <w:rPr>
          <w:lang w:val="en-AU" w:eastAsia="en-AU" w:bidi="ar-SA"/>
        </w:rPr>
        <w:t xml:space="preserve"> test </w:t>
      </w:r>
      <w:r w:rsidR="005C55CF" w:rsidRPr="00627E32">
        <w:rPr>
          <w:lang w:val="en-AU" w:eastAsia="en-AU" w:bidi="ar-SA"/>
        </w:rPr>
        <w:t xml:space="preserve">group) at doses of </w:t>
      </w:r>
      <w:r w:rsidR="00F82FF0" w:rsidRPr="00627E32">
        <w:rPr>
          <w:lang w:val="en-AU" w:eastAsia="en-AU" w:bidi="ar-SA"/>
        </w:rPr>
        <w:t>0, 100, 300 and 1000</w:t>
      </w:r>
      <w:r w:rsidR="00D031FE" w:rsidRPr="00627E32">
        <w:rPr>
          <w:lang w:val="en-AU" w:eastAsia="en-AU" w:bidi="ar-SA"/>
        </w:rPr>
        <w:t xml:space="preserve"> mg</w:t>
      </w:r>
      <w:r w:rsidR="005C55CF" w:rsidRPr="00627E32">
        <w:rPr>
          <w:lang w:val="en-AU" w:eastAsia="en-AU" w:bidi="ar-SA"/>
        </w:rPr>
        <w:t>/kg bw/day</w:t>
      </w:r>
      <w:r w:rsidR="00952D36" w:rsidRPr="00627E32">
        <w:rPr>
          <w:lang w:val="en-AU" w:eastAsia="en-AU" w:bidi="ar-SA"/>
        </w:rPr>
        <w:t xml:space="preserve"> by oral gavage for 13 weeks. </w:t>
      </w:r>
      <w:r w:rsidR="00F50A61">
        <w:rPr>
          <w:lang w:val="en-AU" w:eastAsia="en-AU" w:bidi="ar-SA"/>
        </w:rPr>
        <w:t>These d</w:t>
      </w:r>
      <w:r w:rsidR="00952D36" w:rsidRPr="00627E32">
        <w:rPr>
          <w:lang w:val="en-AU" w:eastAsia="en-AU" w:bidi="ar-SA"/>
        </w:rPr>
        <w:t xml:space="preserve">oses were equivalent to </w:t>
      </w:r>
      <w:r w:rsidR="00650FAB" w:rsidRPr="00627E32">
        <w:rPr>
          <w:lang w:val="en-AU" w:eastAsia="en-AU" w:bidi="ar-SA"/>
        </w:rPr>
        <w:t>0, 92, 276 and 920</w:t>
      </w:r>
      <w:r>
        <w:rPr>
          <w:lang w:val="en-AU" w:eastAsia="en-AU" w:bidi="ar-SA"/>
        </w:rPr>
        <w:t xml:space="preserve"> mg</w:t>
      </w:r>
      <w:r w:rsidR="00952D36" w:rsidRPr="00627E32">
        <w:rPr>
          <w:lang w:val="en-AU" w:eastAsia="en-AU" w:bidi="ar-SA"/>
        </w:rPr>
        <w:t>/kg bw/day</w:t>
      </w:r>
      <w:r>
        <w:rPr>
          <w:lang w:val="en-AU" w:eastAsia="en-AU" w:bidi="ar-SA"/>
        </w:rPr>
        <w:t xml:space="preserve"> TOS</w:t>
      </w:r>
      <w:r w:rsidR="005C55CF" w:rsidRPr="00627E32">
        <w:rPr>
          <w:lang w:val="en-AU" w:eastAsia="en-AU" w:bidi="ar-SA"/>
        </w:rPr>
        <w:t xml:space="preserve">. </w:t>
      </w:r>
      <w:r w:rsidR="00E26390" w:rsidRPr="00627E32">
        <w:rPr>
          <w:lang w:val="en-AU" w:eastAsia="en-AU" w:bidi="ar-SA"/>
        </w:rPr>
        <w:t>The v</w:t>
      </w:r>
      <w:r w:rsidR="001E513B" w:rsidRPr="00627E32">
        <w:rPr>
          <w:lang w:val="en-AU" w:eastAsia="en-AU" w:bidi="ar-SA"/>
        </w:rPr>
        <w:t>ehicle control was distilled water. Animals were housed</w:t>
      </w:r>
      <w:r w:rsidR="00B66A77" w:rsidRPr="00627E32">
        <w:rPr>
          <w:lang w:val="en-AU" w:eastAsia="en-AU" w:bidi="ar-SA"/>
        </w:rPr>
        <w:t xml:space="preserve"> individually</w:t>
      </w:r>
      <w:r w:rsidR="001E513B" w:rsidRPr="00627E32">
        <w:rPr>
          <w:lang w:val="en-AU" w:eastAsia="en-AU" w:bidi="ar-SA"/>
        </w:rPr>
        <w:t xml:space="preserve"> </w:t>
      </w:r>
      <w:r w:rsidR="00B66A77" w:rsidRPr="00627E32">
        <w:rPr>
          <w:lang w:val="en-AU" w:eastAsia="en-AU" w:bidi="ar-SA"/>
        </w:rPr>
        <w:t xml:space="preserve">with </w:t>
      </w:r>
      <w:r w:rsidR="00B66A77" w:rsidRPr="00627E32">
        <w:rPr>
          <w:i/>
          <w:lang w:val="en-AU" w:eastAsia="en-AU" w:bidi="ar-SA"/>
        </w:rPr>
        <w:t>ad libitum</w:t>
      </w:r>
      <w:r w:rsidR="00B66A77" w:rsidRPr="00627E32">
        <w:rPr>
          <w:lang w:val="en-AU" w:eastAsia="en-AU" w:bidi="ar-SA"/>
        </w:rPr>
        <w:t xml:space="preserve"> access to food and water.</w:t>
      </w:r>
      <w:r w:rsidR="00952D36" w:rsidRPr="00627E32">
        <w:rPr>
          <w:lang w:val="en-AU" w:eastAsia="en-AU" w:bidi="ar-SA"/>
        </w:rPr>
        <w:t xml:space="preserve"> </w:t>
      </w:r>
      <w:r w:rsidR="00456DB3" w:rsidRPr="00627E32">
        <w:rPr>
          <w:lang w:val="en-AU" w:eastAsia="en-AU" w:bidi="ar-SA"/>
        </w:rPr>
        <w:t>Qualitative</w:t>
      </w:r>
      <w:r w:rsidR="00952D36" w:rsidRPr="00627E32">
        <w:rPr>
          <w:lang w:val="en-AU" w:eastAsia="en-AU" w:bidi="ar-SA"/>
        </w:rPr>
        <w:t xml:space="preserve"> clinical</w:t>
      </w:r>
      <w:r w:rsidR="00456DB3" w:rsidRPr="00627E32">
        <w:rPr>
          <w:lang w:val="en-AU" w:eastAsia="en-AU" w:bidi="ar-SA"/>
        </w:rPr>
        <w:t xml:space="preserve"> observat</w:t>
      </w:r>
      <w:r w:rsidR="008452AB" w:rsidRPr="00627E32">
        <w:rPr>
          <w:lang w:val="en-AU" w:eastAsia="en-AU" w:bidi="ar-SA"/>
        </w:rPr>
        <w:t>ion</w:t>
      </w:r>
      <w:r w:rsidR="00952D36" w:rsidRPr="00627E32">
        <w:rPr>
          <w:lang w:val="en-AU" w:eastAsia="en-AU" w:bidi="ar-SA"/>
        </w:rPr>
        <w:t>s</w:t>
      </w:r>
      <w:r w:rsidR="008452AB" w:rsidRPr="00627E32">
        <w:rPr>
          <w:lang w:val="en-AU" w:eastAsia="en-AU" w:bidi="ar-SA"/>
        </w:rPr>
        <w:t xml:space="preserve"> </w:t>
      </w:r>
      <w:r w:rsidR="00952D36" w:rsidRPr="00627E32">
        <w:rPr>
          <w:lang w:val="en-AU" w:eastAsia="en-AU" w:bidi="ar-SA"/>
        </w:rPr>
        <w:t>were performed daily. Body weight recorded twice weekly and food consumption was recorded weekly.</w:t>
      </w:r>
      <w:r w:rsidR="0035720D">
        <w:rPr>
          <w:lang w:val="en-AU" w:eastAsia="en-AU" w:bidi="ar-SA"/>
        </w:rPr>
        <w:t xml:space="preserve"> D</w:t>
      </w:r>
      <w:r w:rsidR="008452AB" w:rsidRPr="00627E32">
        <w:rPr>
          <w:lang w:val="en-AU" w:eastAsia="en-AU" w:bidi="ar-SA"/>
        </w:rPr>
        <w:t xml:space="preserve">etailed </w:t>
      </w:r>
      <w:r w:rsidR="00755127" w:rsidRPr="00627E32">
        <w:rPr>
          <w:lang w:val="en-AU" w:eastAsia="en-AU" w:bidi="ar-SA"/>
        </w:rPr>
        <w:t xml:space="preserve">clinical </w:t>
      </w:r>
      <w:r w:rsidR="008452AB" w:rsidRPr="00627E32">
        <w:rPr>
          <w:lang w:val="en-AU" w:eastAsia="en-AU" w:bidi="ar-SA"/>
        </w:rPr>
        <w:t>observation</w:t>
      </w:r>
      <w:r w:rsidR="0035720D">
        <w:rPr>
          <w:lang w:val="en-AU" w:eastAsia="en-AU" w:bidi="ar-SA"/>
        </w:rPr>
        <w:t>s</w:t>
      </w:r>
      <w:r w:rsidR="008452AB" w:rsidRPr="00627E32">
        <w:rPr>
          <w:lang w:val="en-AU" w:eastAsia="en-AU" w:bidi="ar-SA"/>
        </w:rPr>
        <w:t xml:space="preserve"> </w:t>
      </w:r>
      <w:r w:rsidR="0035720D">
        <w:rPr>
          <w:lang w:val="en-AU" w:eastAsia="en-AU" w:bidi="ar-SA"/>
        </w:rPr>
        <w:t>were</w:t>
      </w:r>
      <w:r w:rsidR="00952D36" w:rsidRPr="00627E32">
        <w:rPr>
          <w:lang w:val="en-AU" w:eastAsia="en-AU" w:bidi="ar-SA"/>
        </w:rPr>
        <w:t xml:space="preserve"> </w:t>
      </w:r>
      <w:r w:rsidR="0035720D">
        <w:rPr>
          <w:lang w:val="en-AU" w:eastAsia="en-AU" w:bidi="ar-SA"/>
        </w:rPr>
        <w:t>recorded</w:t>
      </w:r>
      <w:r w:rsidR="008452AB" w:rsidRPr="00627E32">
        <w:rPr>
          <w:lang w:val="en-AU" w:eastAsia="en-AU" w:bidi="ar-SA"/>
        </w:rPr>
        <w:t xml:space="preserve"> weekly </w:t>
      </w:r>
      <w:r w:rsidR="00952D36" w:rsidRPr="00627E32">
        <w:rPr>
          <w:lang w:val="en-AU" w:eastAsia="en-AU" w:bidi="ar-SA"/>
        </w:rPr>
        <w:t>u</w:t>
      </w:r>
      <w:r w:rsidR="008452AB" w:rsidRPr="00627E32">
        <w:rPr>
          <w:lang w:val="en-AU" w:eastAsia="en-AU" w:bidi="ar-SA"/>
        </w:rPr>
        <w:t>sing a blinded observer</w:t>
      </w:r>
      <w:r w:rsidR="00E73BCA" w:rsidRPr="00627E32">
        <w:rPr>
          <w:lang w:val="en-AU" w:eastAsia="en-AU" w:bidi="ar-SA"/>
        </w:rPr>
        <w:t xml:space="preserve">. </w:t>
      </w:r>
      <w:r w:rsidR="005C55CF" w:rsidRPr="00627E32">
        <w:rPr>
          <w:lang w:val="en-AU" w:eastAsia="en-AU" w:bidi="ar-SA"/>
        </w:rPr>
        <w:t>Ophthalmological examination was conducted on all test animals prior to treatment and to high-dose and control a</w:t>
      </w:r>
      <w:r>
        <w:rPr>
          <w:lang w:val="en-AU" w:eastAsia="en-AU" w:bidi="ar-SA"/>
        </w:rPr>
        <w:t>nimals at study termination in w</w:t>
      </w:r>
      <w:r w:rsidR="005C55CF" w:rsidRPr="00627E32">
        <w:rPr>
          <w:lang w:val="en-AU" w:eastAsia="en-AU" w:bidi="ar-SA"/>
        </w:rPr>
        <w:t xml:space="preserve">eek 13. </w:t>
      </w:r>
      <w:r w:rsidR="00E35ADC" w:rsidRPr="00627E32">
        <w:rPr>
          <w:lang w:val="en-AU" w:eastAsia="en-AU" w:bidi="ar-SA"/>
        </w:rPr>
        <w:t xml:space="preserve">Manipulative tests, grip strength and motor activity were undertaken in week 12. Urinalysis was performed in week 13 and haematological examination was conducted at necropsy. </w:t>
      </w:r>
      <w:r w:rsidR="005C55CF" w:rsidRPr="00627E32">
        <w:rPr>
          <w:lang w:val="en-AU" w:eastAsia="en-AU" w:bidi="ar-SA"/>
        </w:rPr>
        <w:t>Gro</w:t>
      </w:r>
      <w:r w:rsidR="00F50A61">
        <w:rPr>
          <w:lang w:val="en-AU" w:eastAsia="en-AU" w:bidi="ar-SA"/>
        </w:rPr>
        <w:t xml:space="preserve">ss pathology, </w:t>
      </w:r>
      <w:r w:rsidR="005C55CF" w:rsidRPr="00627E32">
        <w:rPr>
          <w:lang w:val="en-AU" w:eastAsia="en-AU" w:bidi="ar-SA"/>
        </w:rPr>
        <w:t>measurement of organ weights</w:t>
      </w:r>
      <w:r w:rsidR="00F50A61">
        <w:rPr>
          <w:lang w:val="en-AU" w:eastAsia="en-AU" w:bidi="ar-SA"/>
        </w:rPr>
        <w:t xml:space="preserve"> and </w:t>
      </w:r>
      <w:r w:rsidR="00F50A61" w:rsidRPr="00627E32">
        <w:rPr>
          <w:lang w:val="en-AU" w:eastAsia="en-AU" w:bidi="ar-SA"/>
        </w:rPr>
        <w:t>a histopathological examination</w:t>
      </w:r>
      <w:r w:rsidR="005C55CF" w:rsidRPr="00627E32">
        <w:rPr>
          <w:lang w:val="en-AU" w:eastAsia="en-AU" w:bidi="ar-SA"/>
        </w:rPr>
        <w:t xml:space="preserve"> was conducted on all animals at study termination</w:t>
      </w:r>
      <w:r w:rsidR="00F50A61">
        <w:rPr>
          <w:lang w:val="en-AU" w:eastAsia="en-AU" w:bidi="ar-SA"/>
        </w:rPr>
        <w:t>.</w:t>
      </w:r>
    </w:p>
    <w:p w14:paraId="6836771E" w14:textId="77777777" w:rsidR="005C55CF" w:rsidRPr="00627E32" w:rsidRDefault="005C55CF" w:rsidP="005C55CF">
      <w:pPr>
        <w:rPr>
          <w:lang w:val="en-AU" w:eastAsia="en-AU" w:bidi="ar-SA"/>
        </w:rPr>
      </w:pPr>
    </w:p>
    <w:p w14:paraId="5E193EB3" w14:textId="5D037610" w:rsidR="000B4510" w:rsidRDefault="005C55CF" w:rsidP="005C55CF">
      <w:pPr>
        <w:rPr>
          <w:lang w:val="en-AU" w:eastAsia="en-AU" w:bidi="ar-SA"/>
        </w:rPr>
      </w:pPr>
      <w:r w:rsidRPr="00627E32">
        <w:rPr>
          <w:lang w:val="en-AU" w:eastAsia="en-AU" w:bidi="ar-SA"/>
        </w:rPr>
        <w:t>No mort</w:t>
      </w:r>
      <w:r w:rsidR="0005449B" w:rsidRPr="00627E32">
        <w:rPr>
          <w:lang w:val="en-AU" w:eastAsia="en-AU" w:bidi="ar-SA"/>
        </w:rPr>
        <w:t>ality occurred during the study</w:t>
      </w:r>
      <w:r w:rsidRPr="00627E32">
        <w:rPr>
          <w:lang w:val="en-AU" w:eastAsia="en-AU" w:bidi="ar-SA"/>
        </w:rPr>
        <w:t xml:space="preserve">. </w:t>
      </w:r>
      <w:r w:rsidR="00627E32" w:rsidRPr="00627E32">
        <w:rPr>
          <w:lang w:val="en-AU" w:eastAsia="en-AU" w:bidi="ar-SA"/>
        </w:rPr>
        <w:t xml:space="preserve">No treatment related effects were observed in body weight, food consumption, manipulative testing, grip strength, motor activity, </w:t>
      </w:r>
      <w:r w:rsidR="0005449B" w:rsidRPr="00627E32">
        <w:rPr>
          <w:lang w:val="en-AU" w:eastAsia="en-AU" w:bidi="ar-SA"/>
        </w:rPr>
        <w:t xml:space="preserve">urinalysis, </w:t>
      </w:r>
      <w:r w:rsidR="00627E32" w:rsidRPr="00627E32">
        <w:rPr>
          <w:lang w:val="en-AU" w:eastAsia="en-AU" w:bidi="ar-SA"/>
        </w:rPr>
        <w:t>haematology, blood chemistry or o</w:t>
      </w:r>
      <w:r w:rsidR="00627E32" w:rsidRPr="00627E32">
        <w:rPr>
          <w:szCs w:val="20"/>
          <w:lang w:val="en-AU"/>
        </w:rPr>
        <w:t>phthalmology examinations</w:t>
      </w:r>
      <w:r w:rsidR="0035720D">
        <w:rPr>
          <w:szCs w:val="20"/>
          <w:lang w:val="en-AU"/>
        </w:rPr>
        <w:t xml:space="preserve"> in any of the test animals</w:t>
      </w:r>
      <w:r w:rsidR="005E41F1" w:rsidRPr="00627E32">
        <w:rPr>
          <w:szCs w:val="20"/>
          <w:lang w:val="en-AU"/>
        </w:rPr>
        <w:t xml:space="preserve">. </w:t>
      </w:r>
      <w:r w:rsidR="00B45278">
        <w:rPr>
          <w:lang w:val="en-AU" w:eastAsia="en-AU" w:bidi="ar-SA"/>
        </w:rPr>
        <w:t>No</w:t>
      </w:r>
      <w:r w:rsidR="00627E32">
        <w:rPr>
          <w:lang w:val="en-AU" w:eastAsia="en-AU" w:bidi="ar-SA"/>
        </w:rPr>
        <w:t xml:space="preserve"> </w:t>
      </w:r>
      <w:r w:rsidR="00627E32">
        <w:rPr>
          <w:lang w:eastAsia="en-AU" w:bidi="ar-SA"/>
        </w:rPr>
        <w:t xml:space="preserve">macroscopic or histopathological changes </w:t>
      </w:r>
      <w:r w:rsidR="0035720D">
        <w:rPr>
          <w:lang w:val="en-AU" w:eastAsia="en-AU" w:bidi="ar-SA"/>
        </w:rPr>
        <w:t>related</w:t>
      </w:r>
      <w:r w:rsidR="00DC382A" w:rsidRPr="00627E32">
        <w:rPr>
          <w:lang w:val="en-AU" w:eastAsia="en-AU" w:bidi="ar-SA"/>
        </w:rPr>
        <w:t xml:space="preserve"> to treatment</w:t>
      </w:r>
      <w:r w:rsidR="00B45278">
        <w:rPr>
          <w:lang w:val="en-AU" w:eastAsia="en-AU" w:bidi="ar-SA"/>
        </w:rPr>
        <w:t xml:space="preserve"> were observed at necropsy</w:t>
      </w:r>
      <w:r w:rsidR="00D6412A" w:rsidRPr="00627E32">
        <w:rPr>
          <w:lang w:val="en-AU" w:eastAsia="en-AU" w:bidi="ar-SA"/>
        </w:rPr>
        <w:t>.</w:t>
      </w:r>
      <w:r w:rsidR="00627E32">
        <w:rPr>
          <w:lang w:val="en-AU" w:eastAsia="en-AU" w:bidi="ar-SA"/>
        </w:rPr>
        <w:t xml:space="preserve"> </w:t>
      </w:r>
    </w:p>
    <w:p w14:paraId="46C7D909" w14:textId="77777777" w:rsidR="000B4510" w:rsidRDefault="000B4510" w:rsidP="005C55CF">
      <w:pPr>
        <w:rPr>
          <w:lang w:val="en-AU" w:eastAsia="en-AU" w:bidi="ar-SA"/>
        </w:rPr>
      </w:pPr>
    </w:p>
    <w:p w14:paraId="51C23303" w14:textId="4A039711" w:rsidR="00F174E4" w:rsidRPr="00627E32" w:rsidRDefault="000C1DCB" w:rsidP="005C55CF">
      <w:pPr>
        <w:rPr>
          <w:lang w:val="en-AU" w:eastAsia="en-AU" w:bidi="ar-SA"/>
        </w:rPr>
      </w:pPr>
      <w:r w:rsidRPr="00627E32">
        <w:rPr>
          <w:lang w:val="en-AU" w:eastAsia="en-AU" w:bidi="ar-SA"/>
        </w:rPr>
        <w:t>The no observed adverse effect level</w:t>
      </w:r>
      <w:r w:rsidR="00F82FF0" w:rsidRPr="00627E32">
        <w:rPr>
          <w:lang w:val="en-AU" w:eastAsia="en-AU" w:bidi="ar-SA"/>
        </w:rPr>
        <w:t xml:space="preserve"> </w:t>
      </w:r>
      <w:r w:rsidRPr="00627E32">
        <w:rPr>
          <w:lang w:val="en-AU" w:eastAsia="en-AU" w:bidi="ar-SA"/>
        </w:rPr>
        <w:t>(</w:t>
      </w:r>
      <w:r w:rsidR="00F82FF0" w:rsidRPr="00627E32">
        <w:rPr>
          <w:lang w:val="en-AU" w:eastAsia="en-AU" w:bidi="ar-SA"/>
        </w:rPr>
        <w:t>NOAEL</w:t>
      </w:r>
      <w:r w:rsidRPr="00627E32">
        <w:rPr>
          <w:lang w:val="en-AU" w:eastAsia="en-AU" w:bidi="ar-SA"/>
        </w:rPr>
        <w:t>)</w:t>
      </w:r>
      <w:r w:rsidR="00F82FF0" w:rsidRPr="00627E32">
        <w:rPr>
          <w:lang w:val="en-AU" w:eastAsia="en-AU" w:bidi="ar-SA"/>
        </w:rPr>
        <w:t xml:space="preserve"> was</w:t>
      </w:r>
      <w:r w:rsidR="000B4510">
        <w:rPr>
          <w:lang w:val="en-AU" w:eastAsia="en-AU" w:bidi="ar-SA"/>
        </w:rPr>
        <w:t xml:space="preserve"> </w:t>
      </w:r>
      <w:r w:rsidR="0076795A">
        <w:rPr>
          <w:lang w:val="en-AU" w:eastAsia="en-AU" w:bidi="ar-SA"/>
        </w:rPr>
        <w:t>1000 mg/kg bw/day, equivalent of</w:t>
      </w:r>
      <w:r w:rsidR="00F82FF0" w:rsidRPr="00627E32">
        <w:rPr>
          <w:lang w:val="en-AU" w:eastAsia="en-AU" w:bidi="ar-SA"/>
        </w:rPr>
        <w:t xml:space="preserve"> 108 mg/kg bw/day </w:t>
      </w:r>
      <w:r w:rsidR="00902C2C" w:rsidRPr="00627E32">
        <w:rPr>
          <w:lang w:val="en-AU" w:eastAsia="en-AU" w:bidi="ar-SA"/>
        </w:rPr>
        <w:t xml:space="preserve">of </w:t>
      </w:r>
      <w:r w:rsidR="0076795A">
        <w:rPr>
          <w:lang w:val="en-AU" w:eastAsia="en-AU" w:bidi="ar-SA"/>
        </w:rPr>
        <w:t xml:space="preserve">protein or </w:t>
      </w:r>
      <w:r w:rsidR="00F82FF0" w:rsidRPr="00627E32">
        <w:rPr>
          <w:lang w:val="en-AU" w:eastAsia="en-AU" w:bidi="ar-SA"/>
        </w:rPr>
        <w:t>920</w:t>
      </w:r>
      <w:r w:rsidR="000B4510">
        <w:rPr>
          <w:lang w:val="en-AU" w:eastAsia="en-AU" w:bidi="ar-SA"/>
        </w:rPr>
        <w:t xml:space="preserve"> mg</w:t>
      </w:r>
      <w:r w:rsidR="005C55CF" w:rsidRPr="00627E32">
        <w:rPr>
          <w:lang w:val="en-AU" w:eastAsia="en-AU" w:bidi="ar-SA"/>
        </w:rPr>
        <w:t>/kg bw/day</w:t>
      </w:r>
      <w:r w:rsidR="000B4510">
        <w:rPr>
          <w:lang w:val="en-AU" w:eastAsia="en-AU" w:bidi="ar-SA"/>
        </w:rPr>
        <w:t xml:space="preserve"> TOS</w:t>
      </w:r>
      <w:r w:rsidR="005C55CF" w:rsidRPr="00627E32">
        <w:rPr>
          <w:lang w:val="en-AU" w:eastAsia="en-AU" w:bidi="ar-SA"/>
        </w:rPr>
        <w:t>,</w:t>
      </w:r>
      <w:r w:rsidR="0076795A">
        <w:rPr>
          <w:lang w:val="en-AU" w:eastAsia="en-AU" w:bidi="ar-SA"/>
        </w:rPr>
        <w:t xml:space="preserve"> which was</w:t>
      </w:r>
      <w:r w:rsidR="005C55CF" w:rsidRPr="00627E32">
        <w:rPr>
          <w:lang w:val="en-AU" w:eastAsia="en-AU" w:bidi="ar-SA"/>
        </w:rPr>
        <w:t xml:space="preserve"> the highest </w:t>
      </w:r>
      <w:r w:rsidRPr="00627E32">
        <w:rPr>
          <w:lang w:val="en-AU" w:eastAsia="en-AU" w:bidi="ar-SA"/>
        </w:rPr>
        <w:t>dose tested</w:t>
      </w:r>
      <w:r w:rsidR="005C55CF" w:rsidRPr="00627E32">
        <w:rPr>
          <w:lang w:val="en-AU" w:eastAsia="en-AU" w:bidi="ar-SA"/>
        </w:rPr>
        <w:t>.</w:t>
      </w:r>
    </w:p>
    <w:p w14:paraId="222BD940" w14:textId="77777777" w:rsidR="00F174E4" w:rsidRPr="00EC273B" w:rsidRDefault="00F174E4" w:rsidP="00F174E4">
      <w:pPr>
        <w:rPr>
          <w:lang w:val="en-AU" w:eastAsia="en-AU" w:bidi="ar-SA"/>
        </w:rPr>
      </w:pPr>
      <w:r w:rsidRPr="00EC273B">
        <w:rPr>
          <w:lang w:val="en-AU" w:eastAsia="en-AU" w:bidi="ar-SA"/>
        </w:rPr>
        <w:t xml:space="preserve"> </w:t>
      </w:r>
    </w:p>
    <w:p w14:paraId="073A39F4" w14:textId="4FEE365C" w:rsidR="00F174E4" w:rsidRPr="00EC273B" w:rsidRDefault="00C42CDD" w:rsidP="00F174E4">
      <w:pPr>
        <w:pStyle w:val="Heading3"/>
        <w:rPr>
          <w:color w:val="auto"/>
          <w:lang w:val="en-AU"/>
        </w:rPr>
      </w:pPr>
      <w:bookmarkStart w:id="57" w:name="_Toc53473527"/>
      <w:bookmarkStart w:id="58" w:name="_Toc85467277"/>
      <w:r>
        <w:rPr>
          <w:color w:val="auto"/>
          <w:lang w:val="en-AU"/>
        </w:rPr>
        <w:t>3.3.3</w:t>
      </w:r>
      <w:r w:rsidR="00F174E4" w:rsidRPr="00EC273B">
        <w:rPr>
          <w:color w:val="auto"/>
          <w:lang w:val="en-AU"/>
        </w:rPr>
        <w:tab/>
        <w:t>Genotoxicity assays</w:t>
      </w:r>
      <w:bookmarkEnd w:id="57"/>
      <w:bookmarkEnd w:id="58"/>
    </w:p>
    <w:p w14:paraId="7DEE8DA4" w14:textId="3A159221" w:rsidR="00F174E4" w:rsidRPr="00EC273B" w:rsidRDefault="00207C0E" w:rsidP="00F174E4">
      <w:pPr>
        <w:rPr>
          <w:lang w:val="en-AU" w:bidi="ar-SA"/>
        </w:rPr>
      </w:pPr>
      <w:r w:rsidRPr="00207C0E">
        <w:rPr>
          <w:lang w:val="en-AU" w:bidi="ar-SA"/>
        </w:rPr>
        <w:t>Two genotoxicity studies were submitted, a bacterial reverse mutation assay (Ames test) and a</w:t>
      </w:r>
      <w:r>
        <w:rPr>
          <w:lang w:val="en-AU" w:bidi="ar-SA"/>
        </w:rPr>
        <w:t xml:space="preserve">n </w:t>
      </w:r>
      <w:r w:rsidRPr="00207C0E">
        <w:rPr>
          <w:i/>
          <w:lang w:val="en-AU" w:bidi="ar-SA"/>
        </w:rPr>
        <w:t>in vitro</w:t>
      </w:r>
      <w:r w:rsidRPr="00207C0E">
        <w:rPr>
          <w:lang w:val="en-AU" w:bidi="ar-SA"/>
        </w:rPr>
        <w:t xml:space="preserve"> mammalian cell micronucleus test</w:t>
      </w:r>
      <w:r>
        <w:rPr>
          <w:lang w:val="en-AU" w:bidi="ar-SA"/>
        </w:rPr>
        <w:t xml:space="preserve"> </w:t>
      </w:r>
      <w:r w:rsidRPr="00EC273B">
        <w:rPr>
          <w:lang w:val="en-AU" w:bidi="ar-SA"/>
        </w:rPr>
        <w:t>con</w:t>
      </w:r>
      <w:r>
        <w:rPr>
          <w:lang w:val="en-AU" w:bidi="ar-SA"/>
        </w:rPr>
        <w:t>ducted on mouse lymphoma cells.</w:t>
      </w:r>
      <w:r w:rsidR="003D4FF5">
        <w:rPr>
          <w:lang w:val="en-AU" w:bidi="ar-SA"/>
        </w:rPr>
        <w:t xml:space="preserve"> </w:t>
      </w:r>
      <w:r w:rsidR="003D4FF5">
        <w:rPr>
          <w:lang w:val="en-AU" w:eastAsia="en-AU" w:bidi="ar-SA"/>
        </w:rPr>
        <w:t xml:space="preserve">Both experiments were conducted using </w:t>
      </w:r>
      <w:r w:rsidR="000B4510" w:rsidRPr="009630DC">
        <w:rPr>
          <w:lang w:val="en-AU"/>
        </w:rPr>
        <w:t>beta</w:t>
      </w:r>
      <w:r w:rsidR="000B4510" w:rsidRPr="00EC273B">
        <w:rPr>
          <w:lang w:val="en-AU"/>
        </w:rPr>
        <w:t>-</w:t>
      </w:r>
      <w:r w:rsidR="000B4510">
        <w:rPr>
          <w:lang w:val="en-AU"/>
        </w:rPr>
        <w:t>f</w:t>
      </w:r>
      <w:r w:rsidR="003D4FF5" w:rsidRPr="00EC273B">
        <w:rPr>
          <w:szCs w:val="20"/>
          <w:lang w:val="en-AU"/>
        </w:rPr>
        <w:t>ructofuranosidase</w:t>
      </w:r>
      <w:r w:rsidR="00E61A55">
        <w:rPr>
          <w:szCs w:val="20"/>
          <w:lang w:val="en-AU"/>
        </w:rPr>
        <w:t xml:space="preserve"> from </w:t>
      </w:r>
      <w:r w:rsidR="00E61A55" w:rsidRPr="00E61A55">
        <w:rPr>
          <w:i/>
          <w:szCs w:val="20"/>
          <w:lang w:val="en-AU"/>
        </w:rPr>
        <w:t>A.</w:t>
      </w:r>
      <w:r w:rsidR="00E61A55">
        <w:rPr>
          <w:szCs w:val="20"/>
          <w:lang w:val="en-AU"/>
        </w:rPr>
        <w:t xml:space="preserve"> </w:t>
      </w:r>
      <w:r w:rsidR="00E61A55" w:rsidRPr="00086789">
        <w:rPr>
          <w:rFonts w:ascii="CIDFont+F1" w:eastAsia="Calibri" w:hAnsi="CIDFont+F1" w:cs="CIDFont+F1"/>
          <w:i/>
          <w:lang w:val="en-AU"/>
        </w:rPr>
        <w:t>fijiensis</w:t>
      </w:r>
      <w:r w:rsidR="003D4FF5">
        <w:rPr>
          <w:szCs w:val="20"/>
          <w:lang w:val="en-AU"/>
        </w:rPr>
        <w:t xml:space="preserve"> </w:t>
      </w:r>
      <w:r w:rsidR="00E61A55">
        <w:rPr>
          <w:lang w:val="en-AU" w:eastAsia="en-AU" w:bidi="ar-SA"/>
        </w:rPr>
        <w:t xml:space="preserve">representative </w:t>
      </w:r>
      <w:r w:rsidR="003D4FF5">
        <w:rPr>
          <w:lang w:val="en-AU" w:eastAsia="en-AU" w:bidi="ar-SA"/>
        </w:rPr>
        <w:t>of the commercial product under review by FSANZ.</w:t>
      </w:r>
      <w:r w:rsidR="004E3179">
        <w:rPr>
          <w:lang w:val="en-AU" w:eastAsia="en-AU" w:bidi="ar-SA"/>
        </w:rPr>
        <w:t xml:space="preserve"> </w:t>
      </w:r>
    </w:p>
    <w:p w14:paraId="012B3DAA" w14:textId="77777777" w:rsidR="003D4FF5" w:rsidRPr="00EC273B" w:rsidRDefault="003D4FF5" w:rsidP="00F174E4">
      <w:pPr>
        <w:rPr>
          <w:lang w:val="en-AU" w:bidi="ar-SA"/>
        </w:rPr>
      </w:pPr>
    </w:p>
    <w:p w14:paraId="43BCD134" w14:textId="723DC38A" w:rsidR="00F174E4" w:rsidRPr="00EC273B" w:rsidRDefault="00F174E4" w:rsidP="00F174E4">
      <w:pPr>
        <w:rPr>
          <w:i/>
          <w:u w:val="single"/>
          <w:lang w:val="en-AU" w:bidi="ar-SA"/>
        </w:rPr>
      </w:pPr>
      <w:r w:rsidRPr="004E3179">
        <w:rPr>
          <w:i/>
          <w:lang w:val="en-AU" w:bidi="ar-SA"/>
        </w:rPr>
        <w:t>Bacterial reverse mutation test (</w:t>
      </w:r>
      <w:r w:rsidR="0035720D">
        <w:rPr>
          <w:i/>
          <w:lang w:val="en-AU" w:eastAsia="en-AU" w:bidi="ar-SA"/>
        </w:rPr>
        <w:t>BoZo Research Centre inc.,</w:t>
      </w:r>
      <w:r w:rsidR="00554F9F" w:rsidRPr="004E3179">
        <w:rPr>
          <w:i/>
          <w:lang w:val="en-AU" w:bidi="ar-SA"/>
        </w:rPr>
        <w:t xml:space="preserve"> 2014</w:t>
      </w:r>
      <w:r w:rsidRPr="004E3179">
        <w:rPr>
          <w:i/>
          <w:lang w:val="en-AU" w:bidi="ar-SA"/>
        </w:rPr>
        <w:t xml:space="preserve">). Regulatory Status: GLP; conducted according to OECD </w:t>
      </w:r>
      <w:r w:rsidR="000B4510">
        <w:rPr>
          <w:i/>
          <w:lang w:val="en-AU" w:bidi="ar-SA"/>
        </w:rPr>
        <w:t>TG</w:t>
      </w:r>
      <w:r w:rsidRPr="004E3179">
        <w:rPr>
          <w:i/>
          <w:lang w:val="en-AU" w:bidi="ar-SA"/>
        </w:rPr>
        <w:t xml:space="preserve"> 471</w:t>
      </w:r>
      <w:r w:rsidR="0035720D" w:rsidRPr="0035407A">
        <w:rPr>
          <w:i/>
          <w:lang w:val="en-AU" w:bidi="ar-SA"/>
        </w:rPr>
        <w:t>.</w:t>
      </w:r>
    </w:p>
    <w:p w14:paraId="3DB27ED9" w14:textId="77777777" w:rsidR="00F174E4" w:rsidRPr="00EC273B" w:rsidRDefault="00F174E4" w:rsidP="00F174E4">
      <w:pPr>
        <w:rPr>
          <w:lang w:val="en-AU" w:bidi="ar-SA"/>
        </w:rPr>
      </w:pPr>
    </w:p>
    <w:p w14:paraId="41B01FCF" w14:textId="639A19F9" w:rsidR="004E3179" w:rsidRPr="00EC273B" w:rsidRDefault="003A729F" w:rsidP="004E3179">
      <w:pPr>
        <w:rPr>
          <w:lang w:val="en-AU" w:bidi="ar-SA"/>
        </w:rPr>
      </w:pPr>
      <w:r w:rsidRPr="00EC273B">
        <w:rPr>
          <w:lang w:val="en-AU" w:bidi="ar-SA"/>
        </w:rPr>
        <w:t xml:space="preserve">The potential mutagenicity of </w:t>
      </w:r>
      <w:r w:rsidR="000B4510" w:rsidRPr="009630DC">
        <w:rPr>
          <w:lang w:val="en-AU"/>
        </w:rPr>
        <w:t>beta</w:t>
      </w:r>
      <w:r w:rsidR="000B4510" w:rsidRPr="00EC273B">
        <w:rPr>
          <w:lang w:val="en-AU"/>
        </w:rPr>
        <w:t>-</w:t>
      </w:r>
      <w:r w:rsidR="000B4510">
        <w:rPr>
          <w:lang w:val="en-AU"/>
        </w:rPr>
        <w:t>f</w:t>
      </w:r>
      <w:r w:rsidR="00E61A55" w:rsidRPr="00EC273B">
        <w:rPr>
          <w:szCs w:val="20"/>
          <w:lang w:val="en-AU"/>
        </w:rPr>
        <w:t>ructofuranosidase</w:t>
      </w:r>
      <w:r w:rsidRPr="00EC273B">
        <w:rPr>
          <w:lang w:val="en-AU" w:bidi="ar-SA"/>
        </w:rPr>
        <w:t xml:space="preserve"> was evaluated in </w:t>
      </w:r>
      <w:r w:rsidRPr="00EC273B">
        <w:rPr>
          <w:i/>
          <w:lang w:val="en-AU" w:bidi="ar-SA"/>
        </w:rPr>
        <w:t>Salmonella typhimurium</w:t>
      </w:r>
      <w:r w:rsidRPr="00EC273B">
        <w:rPr>
          <w:lang w:val="en-AU" w:bidi="ar-SA"/>
        </w:rPr>
        <w:t xml:space="preserve"> strains TA98, TA100, TA1535, TA1537 and </w:t>
      </w:r>
      <w:r w:rsidRPr="00EC273B">
        <w:rPr>
          <w:i/>
          <w:lang w:val="en-AU" w:bidi="ar-SA"/>
        </w:rPr>
        <w:t xml:space="preserve">Escherichia coli </w:t>
      </w:r>
      <w:r w:rsidRPr="00EC273B">
        <w:rPr>
          <w:lang w:val="en-AU" w:bidi="ar-SA"/>
        </w:rPr>
        <w:t xml:space="preserve">strain WP2 </w:t>
      </w:r>
      <w:r w:rsidRPr="00EC273B">
        <w:rPr>
          <w:i/>
          <w:lang w:val="en-AU" w:bidi="ar-SA"/>
        </w:rPr>
        <w:t>uvrA</w:t>
      </w:r>
      <w:r w:rsidRPr="00EC273B">
        <w:rPr>
          <w:lang w:val="en-AU" w:bidi="ar-SA"/>
        </w:rPr>
        <w:t>, with and wi</w:t>
      </w:r>
      <w:r w:rsidR="00CD2F0E" w:rsidRPr="00EC273B">
        <w:rPr>
          <w:lang w:val="en-AU" w:bidi="ar-SA"/>
        </w:rPr>
        <w:t>thout metabolic activation</w:t>
      </w:r>
      <w:r w:rsidR="00E61A55">
        <w:rPr>
          <w:lang w:val="en-AU" w:bidi="ar-SA"/>
        </w:rPr>
        <w:t xml:space="preserve"> (S9 mix)</w:t>
      </w:r>
      <w:r w:rsidR="00CD2F0E" w:rsidRPr="00EC273B">
        <w:rPr>
          <w:lang w:val="en-AU" w:bidi="ar-SA"/>
        </w:rPr>
        <w:t>.</w:t>
      </w:r>
      <w:r w:rsidRPr="00EC273B">
        <w:rPr>
          <w:lang w:val="en-AU" w:bidi="ar-SA"/>
        </w:rPr>
        <w:t xml:space="preserve"> </w:t>
      </w:r>
      <w:r w:rsidR="004E3179" w:rsidRPr="00EC273B">
        <w:rPr>
          <w:lang w:val="en-AU" w:bidi="ar-SA"/>
        </w:rPr>
        <w:t xml:space="preserve">Mutation tests were conducted twice independently, with three experimental replicates per treatment. The maximal test concentration of the </w:t>
      </w:r>
      <w:r w:rsidR="000B4510" w:rsidRPr="009630DC">
        <w:rPr>
          <w:lang w:val="en-AU"/>
        </w:rPr>
        <w:t>beta</w:t>
      </w:r>
      <w:r w:rsidR="000B4510" w:rsidRPr="00EC273B">
        <w:rPr>
          <w:lang w:val="en-AU"/>
        </w:rPr>
        <w:t>-</w:t>
      </w:r>
      <w:r w:rsidR="000B4510">
        <w:rPr>
          <w:lang w:val="en-AU"/>
        </w:rPr>
        <w:t>f</w:t>
      </w:r>
      <w:r w:rsidR="004E3179" w:rsidRPr="00EC273B">
        <w:rPr>
          <w:lang w:val="en-AU" w:eastAsia="en-AU" w:bidi="ar-SA"/>
        </w:rPr>
        <w:t xml:space="preserve">ructofuranosidase was </w:t>
      </w:r>
      <w:r w:rsidR="004E3179" w:rsidRPr="00EC273B">
        <w:rPr>
          <w:lang w:val="en-AU" w:bidi="ar-SA"/>
        </w:rPr>
        <w:t xml:space="preserve">5000 </w:t>
      </w:r>
      <w:r w:rsidR="004E3179" w:rsidRPr="00EC273B">
        <w:rPr>
          <w:rFonts w:cs="Arial"/>
          <w:lang w:val="en-AU" w:bidi="ar-SA"/>
        </w:rPr>
        <w:t>µ</w:t>
      </w:r>
      <w:r w:rsidR="004E3179" w:rsidRPr="00EC273B">
        <w:rPr>
          <w:lang w:val="en-AU" w:bidi="ar-SA"/>
        </w:rPr>
        <w:t xml:space="preserve">g/plate based on </w:t>
      </w:r>
      <w:r w:rsidR="004E3179">
        <w:rPr>
          <w:lang w:val="en-AU" w:bidi="ar-SA"/>
        </w:rPr>
        <w:t xml:space="preserve">the findings of a preliminary dose range finding </w:t>
      </w:r>
      <w:r w:rsidR="004E3179" w:rsidRPr="00EC273B">
        <w:rPr>
          <w:lang w:val="en-AU" w:bidi="ar-SA"/>
        </w:rPr>
        <w:t>study.</w:t>
      </w:r>
    </w:p>
    <w:p w14:paraId="54910E81" w14:textId="77777777" w:rsidR="003A729F" w:rsidRPr="00EC273B" w:rsidRDefault="003A729F" w:rsidP="003A729F">
      <w:pPr>
        <w:rPr>
          <w:lang w:val="en-AU" w:bidi="ar-SA"/>
        </w:rPr>
      </w:pPr>
    </w:p>
    <w:p w14:paraId="5BE650D7" w14:textId="58BB369A" w:rsidR="003A729F" w:rsidRPr="000B4510" w:rsidRDefault="003A729F" w:rsidP="003A729F">
      <w:pPr>
        <w:rPr>
          <w:lang w:val="en-AU" w:bidi="ar-SA"/>
        </w:rPr>
      </w:pPr>
      <w:r w:rsidRPr="00EC273B">
        <w:rPr>
          <w:lang w:val="en-AU" w:bidi="ar-SA"/>
        </w:rPr>
        <w:t>Positive controls in the absence</w:t>
      </w:r>
      <w:r w:rsidR="00E61A55">
        <w:rPr>
          <w:lang w:val="en-AU" w:bidi="ar-SA"/>
        </w:rPr>
        <w:t xml:space="preserve"> of</w:t>
      </w:r>
      <w:r w:rsidRPr="00EC273B">
        <w:rPr>
          <w:lang w:val="en-AU" w:bidi="ar-SA"/>
        </w:rPr>
        <w:t xml:space="preserve"> metabolic activation were</w:t>
      </w:r>
      <w:r w:rsidR="004D409B" w:rsidRPr="00EC273B">
        <w:rPr>
          <w:lang w:val="en-AU" w:bidi="ar-SA"/>
        </w:rPr>
        <w:t xml:space="preserve"> (</w:t>
      </w:r>
      <w:r w:rsidR="004D409B" w:rsidRPr="00EC273B">
        <w:rPr>
          <w:i/>
          <w:lang w:val="en-AU" w:bidi="ar-SA"/>
        </w:rPr>
        <w:t>E</w:t>
      </w:r>
      <w:r w:rsidR="004D409B" w:rsidRPr="00EC273B">
        <w:rPr>
          <w:lang w:val="en-AU" w:bidi="ar-SA"/>
        </w:rPr>
        <w:t>)-2-(2-Furyl)-3-(5-nitro-2-furyl)acrylamide (WP2</w:t>
      </w:r>
      <w:r w:rsidR="004D409B" w:rsidRPr="00EC273B">
        <w:rPr>
          <w:i/>
          <w:lang w:val="en-AU" w:bidi="ar-SA"/>
        </w:rPr>
        <w:t>uvrA</w:t>
      </w:r>
      <w:r w:rsidR="004D409B" w:rsidRPr="00EC273B">
        <w:rPr>
          <w:lang w:val="en-AU" w:bidi="ar-SA"/>
        </w:rPr>
        <w:t>, TA98 and TA100</w:t>
      </w:r>
      <w:r w:rsidR="001A489D" w:rsidRPr="00EC273B">
        <w:rPr>
          <w:lang w:val="en-AU" w:bidi="ar-SA"/>
        </w:rPr>
        <w:t>), sodium azide</w:t>
      </w:r>
      <w:r w:rsidRPr="00EC273B">
        <w:rPr>
          <w:lang w:val="en-AU" w:bidi="ar-SA"/>
        </w:rPr>
        <w:t xml:space="preserve"> (</w:t>
      </w:r>
      <w:r w:rsidR="001A489D" w:rsidRPr="00EC273B">
        <w:rPr>
          <w:lang w:val="en-AU" w:bidi="ar-SA"/>
        </w:rPr>
        <w:t>TA1535</w:t>
      </w:r>
      <w:r w:rsidRPr="00EC273B">
        <w:rPr>
          <w:lang w:val="en-AU" w:bidi="ar-SA"/>
        </w:rPr>
        <w:t xml:space="preserve">) and </w:t>
      </w:r>
      <w:r w:rsidR="001A489D" w:rsidRPr="00EC273B">
        <w:rPr>
          <w:lang w:val="en-AU" w:bidi="ar-SA"/>
        </w:rPr>
        <w:t>2-methoxy-6-chloro-9-[3-(2</w:t>
      </w:r>
      <w:r w:rsidR="001A489D" w:rsidRPr="000B4510">
        <w:rPr>
          <w:lang w:val="en-AU" w:bidi="ar-SA"/>
        </w:rPr>
        <w:t xml:space="preserve">-chloroethyl)aminopropylamino]acridine </w:t>
      </w:r>
      <w:r w:rsidRPr="000B4510">
        <w:rPr>
          <w:lang w:val="en-AU" w:bidi="ar-SA"/>
        </w:rPr>
        <w:t>(</w:t>
      </w:r>
      <w:r w:rsidR="001A489D" w:rsidRPr="000B4510">
        <w:rPr>
          <w:lang w:val="en-AU" w:bidi="ar-SA"/>
        </w:rPr>
        <w:t>TA</w:t>
      </w:r>
      <w:r w:rsidR="00C26D06" w:rsidRPr="000B4510">
        <w:rPr>
          <w:lang w:val="en-AU" w:bidi="ar-SA"/>
        </w:rPr>
        <w:t>1537</w:t>
      </w:r>
      <w:r w:rsidRPr="000B4510">
        <w:rPr>
          <w:lang w:val="en-AU" w:bidi="ar-SA"/>
        </w:rPr>
        <w:t>). Positive controls in the presence of metabolic activation were 2-</w:t>
      </w:r>
      <w:r w:rsidR="000544E7">
        <w:rPr>
          <w:lang w:val="en-AU" w:bidi="ar-SA"/>
        </w:rPr>
        <w:t>a</w:t>
      </w:r>
      <w:r w:rsidRPr="000B4510">
        <w:rPr>
          <w:lang w:val="en-AU" w:bidi="ar-SA"/>
        </w:rPr>
        <w:t>minoant</w:t>
      </w:r>
      <w:r w:rsidR="00C129BA" w:rsidRPr="000B4510">
        <w:rPr>
          <w:lang w:val="en-AU" w:bidi="ar-SA"/>
        </w:rPr>
        <w:t xml:space="preserve">hracene </w:t>
      </w:r>
      <w:r w:rsidR="008552A1" w:rsidRPr="000B4510">
        <w:rPr>
          <w:lang w:val="en-AU" w:bidi="ar-SA"/>
        </w:rPr>
        <w:t>(</w:t>
      </w:r>
      <w:r w:rsidR="00C129BA" w:rsidRPr="000B4510">
        <w:rPr>
          <w:lang w:val="en-AU" w:bidi="ar-SA"/>
        </w:rPr>
        <w:t>WP2</w:t>
      </w:r>
      <w:r w:rsidR="00C129BA" w:rsidRPr="000B4510">
        <w:rPr>
          <w:i/>
          <w:lang w:val="en-AU" w:bidi="ar-SA"/>
        </w:rPr>
        <w:t>uvrA</w:t>
      </w:r>
      <w:r w:rsidR="00C129BA" w:rsidRPr="000B4510">
        <w:rPr>
          <w:lang w:val="en-AU" w:bidi="ar-SA"/>
        </w:rPr>
        <w:t xml:space="preserve"> and</w:t>
      </w:r>
      <w:r w:rsidRPr="000B4510">
        <w:rPr>
          <w:lang w:val="en-AU" w:bidi="ar-SA"/>
        </w:rPr>
        <w:t xml:space="preserve"> </w:t>
      </w:r>
      <w:r w:rsidR="00C129BA" w:rsidRPr="000B4510">
        <w:rPr>
          <w:lang w:val="en-AU" w:bidi="ar-SA"/>
        </w:rPr>
        <w:t>TA1535</w:t>
      </w:r>
      <w:r w:rsidRPr="000B4510">
        <w:rPr>
          <w:lang w:val="en-AU" w:bidi="ar-SA"/>
        </w:rPr>
        <w:t xml:space="preserve">) and </w:t>
      </w:r>
      <w:r w:rsidR="000544E7">
        <w:rPr>
          <w:lang w:val="en-AU" w:bidi="ar-SA"/>
        </w:rPr>
        <w:t>b</w:t>
      </w:r>
      <w:r w:rsidRPr="000B4510">
        <w:rPr>
          <w:lang w:val="en-AU" w:bidi="ar-SA"/>
        </w:rPr>
        <w:t>enzo[a]pyrene (TA98</w:t>
      </w:r>
      <w:r w:rsidR="00C129BA" w:rsidRPr="000B4510">
        <w:rPr>
          <w:lang w:val="en-AU" w:bidi="ar-SA"/>
        </w:rPr>
        <w:t>, TA100 and TA1537</w:t>
      </w:r>
      <w:r w:rsidRPr="000B4510">
        <w:rPr>
          <w:lang w:val="en-AU" w:bidi="ar-SA"/>
        </w:rPr>
        <w:t xml:space="preserve">). Sterile deionized water was used as the </w:t>
      </w:r>
      <w:r w:rsidR="00E61A55" w:rsidRPr="000B4510">
        <w:rPr>
          <w:lang w:val="en-AU" w:bidi="ar-SA"/>
        </w:rPr>
        <w:t xml:space="preserve">vehicle </w:t>
      </w:r>
      <w:r w:rsidRPr="000B4510">
        <w:rPr>
          <w:lang w:val="en-AU" w:bidi="ar-SA"/>
        </w:rPr>
        <w:t xml:space="preserve">control. </w:t>
      </w:r>
    </w:p>
    <w:p w14:paraId="2DFFF3F7" w14:textId="2AC4F8C0" w:rsidR="003A729F" w:rsidRPr="000B4510" w:rsidRDefault="003A729F" w:rsidP="003A729F">
      <w:pPr>
        <w:rPr>
          <w:lang w:val="en-AU" w:bidi="ar-SA"/>
        </w:rPr>
      </w:pPr>
    </w:p>
    <w:p w14:paraId="6768848D" w14:textId="24453BD2" w:rsidR="000B4510" w:rsidRDefault="003A729F" w:rsidP="003A729F">
      <w:pPr>
        <w:rPr>
          <w:lang w:val="en-AU" w:bidi="ar-SA"/>
        </w:rPr>
      </w:pPr>
      <w:r w:rsidRPr="000B4510">
        <w:rPr>
          <w:lang w:val="en-AU" w:bidi="ar-SA"/>
        </w:rPr>
        <w:t>No concentration</w:t>
      </w:r>
      <w:r w:rsidRPr="00EC273B">
        <w:rPr>
          <w:lang w:val="en-AU" w:bidi="ar-SA"/>
        </w:rPr>
        <w:t>-related increases in revertant colonies were ob</w:t>
      </w:r>
      <w:r w:rsidR="000B4510">
        <w:rPr>
          <w:lang w:val="en-AU" w:bidi="ar-SA"/>
        </w:rPr>
        <w:t xml:space="preserve">served in cultures treated with </w:t>
      </w:r>
      <w:r w:rsidR="000B4510" w:rsidRPr="009630DC">
        <w:rPr>
          <w:lang w:val="en-AU"/>
        </w:rPr>
        <w:t>beta</w:t>
      </w:r>
      <w:r w:rsidR="000B4510" w:rsidRPr="00EC273B">
        <w:rPr>
          <w:lang w:val="en-AU"/>
        </w:rPr>
        <w:t>-</w:t>
      </w:r>
      <w:r w:rsidR="000B4510">
        <w:rPr>
          <w:lang w:val="en-AU"/>
        </w:rPr>
        <w:t>f</w:t>
      </w:r>
      <w:r w:rsidR="00534F1E" w:rsidRPr="00EC273B">
        <w:rPr>
          <w:lang w:val="en-AU" w:eastAsia="en-AU" w:bidi="ar-SA"/>
        </w:rPr>
        <w:t xml:space="preserve">ructofuranosidase </w:t>
      </w:r>
      <w:r w:rsidRPr="00EC273B">
        <w:rPr>
          <w:lang w:val="en-AU" w:bidi="ar-SA"/>
        </w:rPr>
        <w:t>with or without metabolic activation.</w:t>
      </w:r>
      <w:r w:rsidR="00534F1E" w:rsidRPr="00EC273B">
        <w:rPr>
          <w:lang w:val="en-AU" w:bidi="ar-SA"/>
        </w:rPr>
        <w:t xml:space="preserve"> </w:t>
      </w:r>
      <w:r w:rsidRPr="00EC273B">
        <w:rPr>
          <w:lang w:val="en-AU" w:bidi="ar-SA"/>
        </w:rPr>
        <w:t xml:space="preserve">All positive control treatments showed significant increases in mutagenic activity, validating </w:t>
      </w:r>
      <w:r w:rsidR="006F3F29">
        <w:rPr>
          <w:lang w:val="en-AU" w:bidi="ar-SA"/>
        </w:rPr>
        <w:t xml:space="preserve">the </w:t>
      </w:r>
      <w:r w:rsidR="000544E7">
        <w:rPr>
          <w:lang w:val="en-AU" w:bidi="ar-SA"/>
        </w:rPr>
        <w:t xml:space="preserve">integrity of the </w:t>
      </w:r>
      <w:r w:rsidRPr="00EC273B">
        <w:rPr>
          <w:lang w:val="en-AU" w:bidi="ar-SA"/>
        </w:rPr>
        <w:t>assay.</w:t>
      </w:r>
      <w:r w:rsidR="008552A1">
        <w:rPr>
          <w:lang w:val="en-AU" w:bidi="ar-SA"/>
        </w:rPr>
        <w:t xml:space="preserve"> </w:t>
      </w:r>
    </w:p>
    <w:p w14:paraId="77C07A51" w14:textId="77777777" w:rsidR="000B4510" w:rsidRDefault="000B4510" w:rsidP="003A729F">
      <w:pPr>
        <w:rPr>
          <w:lang w:val="en-AU" w:bidi="ar-SA"/>
        </w:rPr>
      </w:pPr>
    </w:p>
    <w:p w14:paraId="41C796D9" w14:textId="696D364F" w:rsidR="003A729F" w:rsidRPr="00EC273B" w:rsidRDefault="003A729F" w:rsidP="003A729F">
      <w:pPr>
        <w:rPr>
          <w:lang w:val="en-AU" w:bidi="ar-SA"/>
        </w:rPr>
      </w:pPr>
      <w:r w:rsidRPr="00EC273B">
        <w:rPr>
          <w:lang w:val="en-AU" w:bidi="ar-SA"/>
        </w:rPr>
        <w:t xml:space="preserve">It was concluded that </w:t>
      </w:r>
      <w:r w:rsidR="000B4510" w:rsidRPr="009630DC">
        <w:rPr>
          <w:lang w:val="en-AU"/>
        </w:rPr>
        <w:t>beta</w:t>
      </w:r>
      <w:r w:rsidR="000B4510" w:rsidRPr="00EC273B">
        <w:rPr>
          <w:lang w:val="en-AU"/>
        </w:rPr>
        <w:t>-</w:t>
      </w:r>
      <w:r w:rsidR="000B4510">
        <w:rPr>
          <w:lang w:val="en-AU"/>
        </w:rPr>
        <w:t>f</w:t>
      </w:r>
      <w:r w:rsidR="00534F1E" w:rsidRPr="00EC273B">
        <w:rPr>
          <w:lang w:val="en-AU" w:eastAsia="en-AU" w:bidi="ar-SA"/>
        </w:rPr>
        <w:t xml:space="preserve">ructofuranosidase </w:t>
      </w:r>
      <w:r w:rsidRPr="00EC273B">
        <w:rPr>
          <w:lang w:val="en-AU" w:bidi="ar-SA"/>
        </w:rPr>
        <w:t xml:space="preserve">was not mutagenic in any bacterial test strains under the conditions of this </w:t>
      </w:r>
      <w:r w:rsidR="006F3F29">
        <w:rPr>
          <w:lang w:val="en-AU" w:bidi="ar-SA"/>
        </w:rPr>
        <w:t>study</w:t>
      </w:r>
      <w:r w:rsidRPr="00EC273B">
        <w:rPr>
          <w:lang w:val="en-AU" w:bidi="ar-SA"/>
        </w:rPr>
        <w:t xml:space="preserve">. </w:t>
      </w:r>
    </w:p>
    <w:p w14:paraId="55F68299" w14:textId="396646C5" w:rsidR="00F174E4" w:rsidRPr="00EC273B" w:rsidRDefault="00F174E4" w:rsidP="00F174E4">
      <w:pPr>
        <w:rPr>
          <w:lang w:val="en-AU" w:bidi="ar-SA"/>
        </w:rPr>
      </w:pPr>
    </w:p>
    <w:p w14:paraId="6CFCF821" w14:textId="396796F3" w:rsidR="00F174E4" w:rsidRPr="008552A1" w:rsidRDefault="00F174E4" w:rsidP="00F174E4">
      <w:pPr>
        <w:rPr>
          <w:i/>
          <w:lang w:val="en-AU" w:bidi="ar-SA"/>
        </w:rPr>
      </w:pPr>
      <w:r w:rsidRPr="008552A1">
        <w:rPr>
          <w:i/>
          <w:lang w:val="en-AU" w:bidi="ar-SA"/>
        </w:rPr>
        <w:t xml:space="preserve">In vitro mammalian </w:t>
      </w:r>
      <w:r w:rsidR="000C19B9" w:rsidRPr="008552A1">
        <w:rPr>
          <w:i/>
          <w:lang w:val="en-AU" w:bidi="ar-SA"/>
        </w:rPr>
        <w:t>cell micronucleus</w:t>
      </w:r>
      <w:r w:rsidRPr="008552A1">
        <w:rPr>
          <w:i/>
          <w:lang w:val="en-AU" w:bidi="ar-SA"/>
        </w:rPr>
        <w:t xml:space="preserve"> test </w:t>
      </w:r>
      <w:r w:rsidR="00671398">
        <w:rPr>
          <w:i/>
          <w:lang w:val="en-AU" w:eastAsia="en-AU" w:bidi="ar-SA"/>
        </w:rPr>
        <w:t>BoZo Research Centre inc.,</w:t>
      </w:r>
      <w:r w:rsidR="00671398" w:rsidRPr="004E3179">
        <w:rPr>
          <w:i/>
          <w:lang w:val="en-AU" w:bidi="ar-SA"/>
        </w:rPr>
        <w:t xml:space="preserve"> </w:t>
      </w:r>
      <w:r w:rsidR="00CD2F0E" w:rsidRPr="008552A1">
        <w:rPr>
          <w:i/>
          <w:lang w:val="en-AU" w:bidi="ar-SA"/>
        </w:rPr>
        <w:t>2014</w:t>
      </w:r>
      <w:r w:rsidRPr="008552A1">
        <w:rPr>
          <w:i/>
          <w:lang w:val="en-AU" w:bidi="ar-SA"/>
        </w:rPr>
        <w:t xml:space="preserve">). Regulatory status: GLP; conducted according to OECD TG </w:t>
      </w:r>
      <w:r w:rsidR="000C19B9" w:rsidRPr="008552A1">
        <w:rPr>
          <w:i/>
          <w:lang w:val="en-AU" w:bidi="ar-SA"/>
        </w:rPr>
        <w:t>487</w:t>
      </w:r>
    </w:p>
    <w:p w14:paraId="3FC7EDF1" w14:textId="46A7DEED" w:rsidR="00F174E4" w:rsidRPr="00EC273B" w:rsidRDefault="00F174E4" w:rsidP="00F174E4">
      <w:pPr>
        <w:rPr>
          <w:lang w:val="en-AU" w:bidi="ar-SA"/>
        </w:rPr>
      </w:pPr>
    </w:p>
    <w:p w14:paraId="4C5DB430" w14:textId="7699B7F0" w:rsidR="00B92316" w:rsidRPr="00EC273B" w:rsidRDefault="000C19B9" w:rsidP="00B92316">
      <w:pPr>
        <w:rPr>
          <w:lang w:val="en-AU" w:bidi="ar-SA"/>
        </w:rPr>
      </w:pPr>
      <w:r w:rsidRPr="00EC273B">
        <w:rPr>
          <w:lang w:val="en-AU" w:bidi="ar-SA"/>
        </w:rPr>
        <w:t xml:space="preserve">The test was conducted on mouse lymphoma cells (L5178Y </w:t>
      </w:r>
      <w:r w:rsidRPr="00EC273B">
        <w:rPr>
          <w:i/>
          <w:lang w:val="en-AU" w:bidi="ar-SA"/>
        </w:rPr>
        <w:t>tk</w:t>
      </w:r>
      <w:r w:rsidRPr="00EC273B">
        <w:rPr>
          <w:vertAlign w:val="superscript"/>
          <w:lang w:val="en-AU" w:bidi="ar-SA"/>
        </w:rPr>
        <w:t>+/-</w:t>
      </w:r>
      <w:r w:rsidRPr="00EC273B">
        <w:rPr>
          <w:lang w:val="en-AU" w:bidi="ar-SA"/>
        </w:rPr>
        <w:t xml:space="preserve"> -clone 3.7</w:t>
      </w:r>
      <w:r w:rsidRPr="00690152">
        <w:rPr>
          <w:lang w:val="en-AU" w:bidi="ar-SA"/>
        </w:rPr>
        <w:t>.2c)</w:t>
      </w:r>
      <w:r w:rsidR="00E225FF" w:rsidRPr="00690152">
        <w:rPr>
          <w:lang w:val="en-AU" w:bidi="ar-SA"/>
        </w:rPr>
        <w:t>.</w:t>
      </w:r>
      <w:r w:rsidR="00FC7678" w:rsidRPr="00690152">
        <w:rPr>
          <w:lang w:val="en-AU" w:bidi="ar-SA"/>
        </w:rPr>
        <w:t xml:space="preserve"> </w:t>
      </w:r>
      <w:r w:rsidR="00B92316" w:rsidRPr="00690152">
        <w:rPr>
          <w:lang w:val="en-AU" w:bidi="ar-SA"/>
        </w:rPr>
        <w:t>Metabolic activation was achieved through the addition of rat-liver</w:t>
      </w:r>
      <w:r w:rsidR="001C5F1B" w:rsidRPr="00690152">
        <w:rPr>
          <w:lang w:val="en-AU" w:bidi="ar-SA"/>
        </w:rPr>
        <w:t xml:space="preserve"> hamogenate</w:t>
      </w:r>
      <w:r w:rsidR="00B92316" w:rsidRPr="00690152">
        <w:rPr>
          <w:lang w:val="en-AU" w:bidi="ar-SA"/>
        </w:rPr>
        <w:t xml:space="preserve"> (S9).</w:t>
      </w:r>
      <w:r w:rsidR="005F03C1" w:rsidRPr="00690152">
        <w:rPr>
          <w:lang w:val="en-AU" w:bidi="ar-SA"/>
        </w:rPr>
        <w:t xml:space="preserve"> The experiment was conducted twice independently, where cells were either exposed to the test substance in the presence or absence </w:t>
      </w:r>
      <w:r w:rsidR="00226B52" w:rsidRPr="00690152">
        <w:rPr>
          <w:lang w:val="en-AU" w:bidi="ar-SA"/>
        </w:rPr>
        <w:t>S9</w:t>
      </w:r>
      <w:r w:rsidR="005F03C1" w:rsidRPr="00690152">
        <w:rPr>
          <w:lang w:val="en-AU" w:bidi="ar-SA"/>
        </w:rPr>
        <w:t xml:space="preserve"> for 3 hours</w:t>
      </w:r>
      <w:r w:rsidR="00E81297" w:rsidRPr="00690152">
        <w:rPr>
          <w:lang w:val="en-AU" w:bidi="ar-SA"/>
        </w:rPr>
        <w:t xml:space="preserve"> (short term)</w:t>
      </w:r>
      <w:r w:rsidR="00690152" w:rsidRPr="00690152">
        <w:rPr>
          <w:lang w:val="en-AU" w:bidi="ar-SA"/>
        </w:rPr>
        <w:t>,</w:t>
      </w:r>
      <w:r w:rsidR="00226B52" w:rsidRPr="00690152">
        <w:rPr>
          <w:lang w:val="en-AU" w:bidi="ar-SA"/>
        </w:rPr>
        <w:t xml:space="preserve"> or</w:t>
      </w:r>
      <w:r w:rsidR="005F03C1" w:rsidRPr="00690152">
        <w:rPr>
          <w:lang w:val="en-AU" w:bidi="ar-SA"/>
        </w:rPr>
        <w:t xml:space="preserve"> expo</w:t>
      </w:r>
      <w:r w:rsidR="002C3E35">
        <w:rPr>
          <w:lang w:val="en-AU" w:bidi="ar-SA"/>
        </w:rPr>
        <w:t>sed to the test substance for 24</w:t>
      </w:r>
      <w:r w:rsidR="005F03C1" w:rsidRPr="00690152">
        <w:rPr>
          <w:lang w:val="en-AU" w:bidi="ar-SA"/>
        </w:rPr>
        <w:t xml:space="preserve"> hours </w:t>
      </w:r>
      <w:r w:rsidR="00690152" w:rsidRPr="00690152">
        <w:rPr>
          <w:lang w:val="en-AU" w:bidi="ar-SA"/>
        </w:rPr>
        <w:t xml:space="preserve">(continuous) </w:t>
      </w:r>
      <w:r w:rsidR="005F03C1" w:rsidRPr="00690152">
        <w:rPr>
          <w:lang w:val="en-AU" w:bidi="ar-SA"/>
        </w:rPr>
        <w:t>without S9.</w:t>
      </w:r>
      <w:r w:rsidR="00B92316" w:rsidRPr="00690152">
        <w:rPr>
          <w:lang w:val="en-AU" w:bidi="ar-SA"/>
        </w:rPr>
        <w:t xml:space="preserve"> Positive control as</w:t>
      </w:r>
      <w:r w:rsidR="00226B52" w:rsidRPr="00690152">
        <w:rPr>
          <w:lang w:val="en-AU" w:bidi="ar-SA"/>
        </w:rPr>
        <w:t>says were conducted in parallel</w:t>
      </w:r>
      <w:r w:rsidR="00B92316" w:rsidRPr="00690152">
        <w:rPr>
          <w:lang w:val="en-AU" w:bidi="ar-SA"/>
        </w:rPr>
        <w:t xml:space="preserve"> using mitomycin C as the </w:t>
      </w:r>
      <w:r w:rsidR="00480D17" w:rsidRPr="00690152">
        <w:rPr>
          <w:lang w:val="en-AU" w:bidi="ar-SA"/>
        </w:rPr>
        <w:t xml:space="preserve">clastogen </w:t>
      </w:r>
      <w:r w:rsidR="00B92316" w:rsidRPr="00690152">
        <w:rPr>
          <w:lang w:val="en-AU" w:bidi="ar-SA"/>
        </w:rPr>
        <w:t>positive control f</w:t>
      </w:r>
      <w:r w:rsidR="00480D17" w:rsidRPr="00690152">
        <w:rPr>
          <w:lang w:val="en-AU" w:bidi="ar-SA"/>
        </w:rPr>
        <w:t xml:space="preserve">or </w:t>
      </w:r>
      <w:r w:rsidR="000C5F44" w:rsidRPr="00690152">
        <w:rPr>
          <w:lang w:val="en-AU" w:bidi="ar-SA"/>
        </w:rPr>
        <w:t xml:space="preserve">the </w:t>
      </w:r>
      <w:r w:rsidR="00E81297" w:rsidRPr="00690152">
        <w:rPr>
          <w:lang w:val="en-AU" w:bidi="ar-SA"/>
        </w:rPr>
        <w:t>continuous treatment</w:t>
      </w:r>
      <w:r w:rsidR="00480D17" w:rsidRPr="00690152">
        <w:rPr>
          <w:lang w:val="en-AU" w:bidi="ar-SA"/>
        </w:rPr>
        <w:t>,</w:t>
      </w:r>
      <w:r w:rsidR="00B92316" w:rsidRPr="00690152">
        <w:rPr>
          <w:lang w:val="en-AU" w:bidi="ar-SA"/>
        </w:rPr>
        <w:t xml:space="preserve"> </w:t>
      </w:r>
      <w:r w:rsidR="00B92316" w:rsidRPr="00EC273B">
        <w:rPr>
          <w:lang w:val="en-AU" w:bidi="ar-SA"/>
        </w:rPr>
        <w:t>cyclophosphamide as the</w:t>
      </w:r>
      <w:r w:rsidR="00480D17" w:rsidRPr="00EC273B">
        <w:rPr>
          <w:lang w:val="en-AU" w:bidi="ar-SA"/>
        </w:rPr>
        <w:t xml:space="preserve"> clastogen </w:t>
      </w:r>
      <w:r w:rsidR="00B92316" w:rsidRPr="00EC273B">
        <w:rPr>
          <w:lang w:val="en-AU" w:bidi="ar-SA"/>
        </w:rPr>
        <w:t xml:space="preserve">positive control </w:t>
      </w:r>
      <w:r w:rsidR="00690152">
        <w:rPr>
          <w:lang w:val="en-AU" w:bidi="ar-SA"/>
        </w:rPr>
        <w:t xml:space="preserve">in the short time treatment </w:t>
      </w:r>
      <w:r w:rsidR="00B92316" w:rsidRPr="00EC273B">
        <w:rPr>
          <w:lang w:val="en-AU" w:bidi="ar-SA"/>
        </w:rPr>
        <w:t xml:space="preserve">with </w:t>
      </w:r>
      <w:r w:rsidR="00226B52">
        <w:rPr>
          <w:lang w:val="en-AU" w:bidi="ar-SA"/>
        </w:rPr>
        <w:t>S9</w:t>
      </w:r>
      <w:r w:rsidR="000C5F44">
        <w:rPr>
          <w:lang w:val="en-AU" w:bidi="ar-SA"/>
        </w:rPr>
        <w:t>,</w:t>
      </w:r>
      <w:r w:rsidR="008552A1">
        <w:rPr>
          <w:lang w:val="en-AU" w:bidi="ar-SA"/>
        </w:rPr>
        <w:t xml:space="preserve"> and colchicine</w:t>
      </w:r>
      <w:r w:rsidR="00480D17" w:rsidRPr="00EC273B">
        <w:rPr>
          <w:lang w:val="en-AU" w:bidi="ar-SA"/>
        </w:rPr>
        <w:t xml:space="preserve"> as the </w:t>
      </w:r>
      <w:r w:rsidR="000C5F44" w:rsidRPr="00EC273B">
        <w:rPr>
          <w:lang w:val="en-AU" w:bidi="ar-SA"/>
        </w:rPr>
        <w:t xml:space="preserve">aneugen </w:t>
      </w:r>
      <w:r w:rsidR="00690152">
        <w:rPr>
          <w:lang w:val="en-AU" w:bidi="ar-SA"/>
        </w:rPr>
        <w:t xml:space="preserve">control </w:t>
      </w:r>
      <w:r w:rsidR="000C5F44">
        <w:rPr>
          <w:lang w:val="en-AU" w:bidi="ar-SA"/>
        </w:rPr>
        <w:t xml:space="preserve">in the </w:t>
      </w:r>
      <w:r w:rsidR="00480D17" w:rsidRPr="00EC273B">
        <w:rPr>
          <w:lang w:val="en-AU" w:bidi="ar-SA"/>
        </w:rPr>
        <w:t>s</w:t>
      </w:r>
      <w:r w:rsidR="000C5F44">
        <w:rPr>
          <w:lang w:val="en-AU" w:bidi="ar-SA"/>
        </w:rPr>
        <w:t>hort-</w:t>
      </w:r>
      <w:r w:rsidR="00480D17" w:rsidRPr="00EC273B">
        <w:rPr>
          <w:lang w:val="en-AU" w:bidi="ar-SA"/>
        </w:rPr>
        <w:t>term</w:t>
      </w:r>
      <w:r w:rsidR="00690152">
        <w:rPr>
          <w:lang w:val="en-AU" w:bidi="ar-SA"/>
        </w:rPr>
        <w:t xml:space="preserve"> treatment</w:t>
      </w:r>
      <w:r w:rsidR="000C5F44" w:rsidRPr="00EC273B">
        <w:rPr>
          <w:lang w:val="en-AU" w:bidi="ar-SA"/>
        </w:rPr>
        <w:t xml:space="preserve"> </w:t>
      </w:r>
      <w:r w:rsidR="00226B52">
        <w:rPr>
          <w:lang w:val="en-AU" w:bidi="ar-SA"/>
        </w:rPr>
        <w:t>without S9</w:t>
      </w:r>
      <w:r w:rsidR="00B92316" w:rsidRPr="00EC273B">
        <w:rPr>
          <w:lang w:val="en-AU" w:bidi="ar-SA"/>
        </w:rPr>
        <w:t>.</w:t>
      </w:r>
      <w:r w:rsidR="00586F4C">
        <w:rPr>
          <w:lang w:val="en-AU" w:bidi="ar-SA"/>
        </w:rPr>
        <w:t xml:space="preserve"> 1000 </w:t>
      </w:r>
      <w:r w:rsidR="0076795A">
        <w:rPr>
          <w:lang w:val="en-AU" w:bidi="ar-SA"/>
        </w:rPr>
        <w:t xml:space="preserve">cells </w:t>
      </w:r>
      <w:r w:rsidR="00586F4C">
        <w:rPr>
          <w:lang w:val="en-AU" w:bidi="ar-SA"/>
        </w:rPr>
        <w:t>per treatment were scored for each independent experiment.</w:t>
      </w:r>
    </w:p>
    <w:p w14:paraId="3622C4C1" w14:textId="739326D7" w:rsidR="00536278" w:rsidRPr="00EC273B" w:rsidRDefault="00536278" w:rsidP="00B92316">
      <w:pPr>
        <w:rPr>
          <w:lang w:val="en-AU" w:bidi="ar-SA"/>
        </w:rPr>
      </w:pPr>
    </w:p>
    <w:p w14:paraId="1B7827EC" w14:textId="0BD86D2E" w:rsidR="00660EF7" w:rsidRDefault="000B4510" w:rsidP="00660EF7">
      <w:pPr>
        <w:rPr>
          <w:lang w:val="en-AU" w:bidi="ar-SA"/>
        </w:rPr>
      </w:pPr>
      <w:r>
        <w:rPr>
          <w:lang w:val="en-AU" w:bidi="ar-SA"/>
        </w:rPr>
        <w:lastRenderedPageBreak/>
        <w:t xml:space="preserve">Based on </w:t>
      </w:r>
      <w:r w:rsidR="00660EF7" w:rsidRPr="00EC273B">
        <w:rPr>
          <w:lang w:val="en-AU" w:bidi="ar-SA"/>
        </w:rPr>
        <w:t>cytostatic activity</w:t>
      </w:r>
      <w:r w:rsidR="00660EF7">
        <w:rPr>
          <w:lang w:val="en-AU" w:bidi="ar-SA"/>
        </w:rPr>
        <w:t xml:space="preserve"> observed in the </w:t>
      </w:r>
      <w:r>
        <w:rPr>
          <w:lang w:val="en-AU" w:bidi="ar-SA"/>
        </w:rPr>
        <w:t>dose selection experiments, the</w:t>
      </w:r>
      <w:r w:rsidRPr="00EC273B">
        <w:rPr>
          <w:lang w:val="en-AU" w:bidi="ar-SA"/>
        </w:rPr>
        <w:t xml:space="preserve"> </w:t>
      </w:r>
      <w:r w:rsidR="00660EF7">
        <w:rPr>
          <w:lang w:val="en-AU" w:bidi="ar-SA"/>
        </w:rPr>
        <w:t xml:space="preserve">final test item concentrations were adjusted to </w:t>
      </w:r>
      <w:r w:rsidR="00660EF7" w:rsidRPr="00EC273B">
        <w:rPr>
          <w:lang w:val="en-AU" w:bidi="ar-SA"/>
        </w:rPr>
        <w:t xml:space="preserve">2500-4500 </w:t>
      </w:r>
      <w:r w:rsidR="00660EF7" w:rsidRPr="00EC273B">
        <w:rPr>
          <w:rFonts w:cs="Arial"/>
          <w:lang w:val="en-AU" w:bidi="ar-SA"/>
        </w:rPr>
        <w:t>µ</w:t>
      </w:r>
      <w:r w:rsidR="00660EF7" w:rsidRPr="00EC273B">
        <w:rPr>
          <w:lang w:val="en-AU" w:bidi="ar-SA"/>
        </w:rPr>
        <w:t>g/m</w:t>
      </w:r>
      <w:r w:rsidR="00C42CDD">
        <w:rPr>
          <w:lang w:val="en-AU" w:bidi="ar-SA"/>
        </w:rPr>
        <w:t>L</w:t>
      </w:r>
      <w:r w:rsidR="00660EF7">
        <w:rPr>
          <w:lang w:val="en-AU" w:bidi="ar-SA"/>
        </w:rPr>
        <w:t xml:space="preserve"> for the 3 hour exposure without S9; </w:t>
      </w:r>
      <w:r w:rsidR="00660EF7" w:rsidRPr="00EC273B">
        <w:rPr>
          <w:lang w:val="en-AU" w:bidi="ar-SA"/>
        </w:rPr>
        <w:t xml:space="preserve">2000-5000 </w:t>
      </w:r>
      <w:r w:rsidR="00660EF7" w:rsidRPr="00EC273B">
        <w:rPr>
          <w:rFonts w:cs="Arial"/>
          <w:lang w:val="en-AU" w:bidi="ar-SA"/>
        </w:rPr>
        <w:t>µ</w:t>
      </w:r>
      <w:r w:rsidR="00660EF7" w:rsidRPr="00EC273B">
        <w:rPr>
          <w:lang w:val="en-AU" w:bidi="ar-SA"/>
        </w:rPr>
        <w:t>g/m</w:t>
      </w:r>
      <w:r w:rsidR="00C42CDD">
        <w:rPr>
          <w:lang w:val="en-AU" w:bidi="ar-SA"/>
        </w:rPr>
        <w:t xml:space="preserve">L </w:t>
      </w:r>
      <w:r w:rsidR="00660EF7">
        <w:rPr>
          <w:lang w:val="en-AU" w:bidi="ar-SA"/>
        </w:rPr>
        <w:t xml:space="preserve">for the 3 hour exposure with S9; and </w:t>
      </w:r>
      <w:r w:rsidR="00660EF7" w:rsidRPr="00EC273B">
        <w:rPr>
          <w:lang w:val="en-AU" w:bidi="ar-SA"/>
        </w:rPr>
        <w:t xml:space="preserve">500-2500 </w:t>
      </w:r>
      <w:r w:rsidR="00660EF7" w:rsidRPr="00EC273B">
        <w:rPr>
          <w:rFonts w:cs="Arial"/>
          <w:lang w:val="en-AU" w:bidi="ar-SA"/>
        </w:rPr>
        <w:t>µ</w:t>
      </w:r>
      <w:r w:rsidR="00660EF7" w:rsidRPr="00EC273B">
        <w:rPr>
          <w:lang w:val="en-AU" w:bidi="ar-SA"/>
        </w:rPr>
        <w:t>g/m</w:t>
      </w:r>
      <w:r w:rsidR="00C42CDD">
        <w:rPr>
          <w:lang w:val="en-AU" w:bidi="ar-SA"/>
        </w:rPr>
        <w:t xml:space="preserve">L </w:t>
      </w:r>
      <w:r w:rsidR="00671398">
        <w:rPr>
          <w:lang w:val="en-AU" w:bidi="ar-SA"/>
        </w:rPr>
        <w:t xml:space="preserve">for the </w:t>
      </w:r>
      <w:r w:rsidR="002C3E35">
        <w:rPr>
          <w:lang w:val="en-AU" w:bidi="ar-SA"/>
        </w:rPr>
        <w:t>24</w:t>
      </w:r>
      <w:r w:rsidR="00660EF7">
        <w:rPr>
          <w:lang w:val="en-AU" w:bidi="ar-SA"/>
        </w:rPr>
        <w:t xml:space="preserve"> hour continuous exposure.</w:t>
      </w:r>
    </w:p>
    <w:p w14:paraId="0A85BE84" w14:textId="25CB8548" w:rsidR="00F50BAA" w:rsidRPr="00EC273B" w:rsidRDefault="00F50BAA" w:rsidP="00660EF7">
      <w:pPr>
        <w:rPr>
          <w:lang w:val="en-AU" w:bidi="ar-SA"/>
        </w:rPr>
      </w:pPr>
    </w:p>
    <w:p w14:paraId="17CDED16" w14:textId="20BA9ADD" w:rsidR="00B92316" w:rsidRPr="001C5F1B" w:rsidRDefault="0093453B" w:rsidP="00B92316">
      <w:pPr>
        <w:rPr>
          <w:lang w:val="en-AU" w:bidi="ar-SA"/>
        </w:rPr>
      </w:pPr>
      <w:r>
        <w:rPr>
          <w:lang w:val="en-AU" w:bidi="ar-SA"/>
        </w:rPr>
        <w:t>There were no</w:t>
      </w:r>
      <w:r w:rsidR="00B92316" w:rsidRPr="00EC273B">
        <w:rPr>
          <w:lang w:val="en-AU" w:bidi="ar-SA"/>
        </w:rPr>
        <w:t xml:space="preserve"> increases in </w:t>
      </w:r>
      <w:r w:rsidR="00BF1AD4" w:rsidRPr="00EC273B">
        <w:rPr>
          <w:lang w:val="en-AU" w:bidi="ar-SA"/>
        </w:rPr>
        <w:t xml:space="preserve">the </w:t>
      </w:r>
      <w:r>
        <w:rPr>
          <w:lang w:val="en-AU" w:bidi="ar-SA"/>
        </w:rPr>
        <w:t>incidence of</w:t>
      </w:r>
      <w:r w:rsidR="00BF1AD4" w:rsidRPr="00EC273B">
        <w:rPr>
          <w:lang w:val="en-AU" w:bidi="ar-SA"/>
        </w:rPr>
        <w:t xml:space="preserve"> </w:t>
      </w:r>
      <w:r w:rsidR="00742EF1" w:rsidRPr="00EC273B">
        <w:rPr>
          <w:lang w:val="en-AU" w:bidi="ar-SA"/>
        </w:rPr>
        <w:t>micronucle</w:t>
      </w:r>
      <w:r>
        <w:rPr>
          <w:lang w:val="en-AU" w:bidi="ar-SA"/>
        </w:rPr>
        <w:t>ated</w:t>
      </w:r>
      <w:r w:rsidR="00BF1AD4" w:rsidRPr="00EC273B">
        <w:rPr>
          <w:lang w:val="en-AU" w:bidi="ar-SA"/>
        </w:rPr>
        <w:t xml:space="preserve"> mouse lymphoma cells </w:t>
      </w:r>
      <w:r>
        <w:rPr>
          <w:lang w:val="en-AU" w:bidi="ar-SA"/>
        </w:rPr>
        <w:t>following exposure</w:t>
      </w:r>
      <w:r w:rsidR="00BF1AD4" w:rsidRPr="00EC273B">
        <w:rPr>
          <w:lang w:val="en-AU" w:bidi="ar-SA"/>
        </w:rPr>
        <w:t xml:space="preserve"> to</w:t>
      </w:r>
      <w:r w:rsidR="00F00522" w:rsidRPr="00EC273B">
        <w:rPr>
          <w:lang w:val="en-AU" w:bidi="ar-SA"/>
        </w:rPr>
        <w:t xml:space="preserve"> the test</w:t>
      </w:r>
      <w:r w:rsidR="00BF1AD4" w:rsidRPr="00EC273B">
        <w:rPr>
          <w:lang w:val="en-AU" w:bidi="ar-SA"/>
        </w:rPr>
        <w:t xml:space="preserve"> </w:t>
      </w:r>
      <w:r>
        <w:rPr>
          <w:lang w:val="en-AU" w:bidi="ar-SA"/>
        </w:rPr>
        <w:t>item</w:t>
      </w:r>
      <w:r w:rsidR="00B92316" w:rsidRPr="00EC273B">
        <w:rPr>
          <w:lang w:val="en-AU" w:bidi="ar-SA"/>
        </w:rPr>
        <w:t xml:space="preserve">, relative to the vehicle controls, </w:t>
      </w:r>
      <w:r w:rsidR="000544E7">
        <w:rPr>
          <w:lang w:val="en-AU" w:bidi="ar-SA"/>
        </w:rPr>
        <w:t>under</w:t>
      </w:r>
      <w:r w:rsidR="00B92316" w:rsidRPr="00EC273B">
        <w:rPr>
          <w:lang w:val="en-AU" w:bidi="ar-SA"/>
        </w:rPr>
        <w:t xml:space="preserve"> the conditions tested. The positive controls demonstrate</w:t>
      </w:r>
      <w:r>
        <w:rPr>
          <w:lang w:val="en-AU" w:bidi="ar-SA"/>
        </w:rPr>
        <w:t>d</w:t>
      </w:r>
      <w:r w:rsidR="00B92316" w:rsidRPr="00EC273B">
        <w:rPr>
          <w:lang w:val="en-AU" w:bidi="ar-SA"/>
        </w:rPr>
        <w:t xml:space="preserve"> a statistically significant increase in </w:t>
      </w:r>
      <w:r w:rsidR="00742EF1" w:rsidRPr="00EC273B">
        <w:rPr>
          <w:lang w:val="en-AU" w:bidi="ar-SA"/>
        </w:rPr>
        <w:t>micronuclei formation</w:t>
      </w:r>
      <w:r w:rsidR="00B92316" w:rsidRPr="00EC273B">
        <w:rPr>
          <w:lang w:val="en-AU" w:bidi="ar-SA"/>
        </w:rPr>
        <w:t xml:space="preserve">, validating the </w:t>
      </w:r>
      <w:r w:rsidR="00B92316" w:rsidRPr="001C5F1B">
        <w:rPr>
          <w:lang w:val="en-AU" w:bidi="ar-SA"/>
        </w:rPr>
        <w:t>sensitivity of the experimental methodology.</w:t>
      </w:r>
    </w:p>
    <w:p w14:paraId="520D1073" w14:textId="77777777" w:rsidR="00B92316" w:rsidRPr="001C5F1B" w:rsidRDefault="00B92316" w:rsidP="00B92316">
      <w:pPr>
        <w:rPr>
          <w:lang w:val="en-AU" w:bidi="ar-SA"/>
        </w:rPr>
      </w:pPr>
    </w:p>
    <w:p w14:paraId="5A3CF31A" w14:textId="21D5D79F" w:rsidR="00B92316" w:rsidRPr="00EC273B" w:rsidRDefault="00B92316" w:rsidP="00B92316">
      <w:pPr>
        <w:rPr>
          <w:lang w:val="en-AU" w:bidi="ar-SA"/>
        </w:rPr>
      </w:pPr>
      <w:r w:rsidRPr="001C5F1B">
        <w:rPr>
          <w:lang w:val="en-AU" w:bidi="ar-SA"/>
        </w:rPr>
        <w:t xml:space="preserve">It was concluded that </w:t>
      </w:r>
      <w:r w:rsidRPr="00EC273B">
        <w:rPr>
          <w:lang w:val="en-AU" w:bidi="ar-SA"/>
        </w:rPr>
        <w:t xml:space="preserve">the test </w:t>
      </w:r>
      <w:r w:rsidR="00660EF7">
        <w:rPr>
          <w:lang w:val="en-AU" w:bidi="ar-SA"/>
        </w:rPr>
        <w:t>beta-f</w:t>
      </w:r>
      <w:r w:rsidR="00742EF1" w:rsidRPr="00EC273B">
        <w:rPr>
          <w:lang w:val="en-AU" w:eastAsia="en-AU" w:bidi="ar-SA"/>
        </w:rPr>
        <w:t>ructofuranosidase</w:t>
      </w:r>
      <w:r w:rsidR="00742EF1" w:rsidRPr="00EC273B">
        <w:rPr>
          <w:lang w:val="en-AU" w:bidi="ar-SA"/>
        </w:rPr>
        <w:t xml:space="preserve"> </w:t>
      </w:r>
      <w:r w:rsidR="001C5F1B" w:rsidRPr="001C5F1B">
        <w:rPr>
          <w:lang w:val="en-AU" w:bidi="ar-SA"/>
        </w:rPr>
        <w:t>was not clastogenic or aneugenic</w:t>
      </w:r>
      <w:r w:rsidR="001C5F1B">
        <w:rPr>
          <w:lang w:val="en-AU" w:bidi="ar-SA"/>
        </w:rPr>
        <w:t xml:space="preserve"> in</w:t>
      </w:r>
      <w:r w:rsidRPr="00EC273B">
        <w:rPr>
          <w:lang w:val="en-AU" w:bidi="ar-SA"/>
        </w:rPr>
        <w:t xml:space="preserve"> </w:t>
      </w:r>
      <w:r w:rsidR="0093453B">
        <w:rPr>
          <w:lang w:val="en-AU" w:bidi="ar-SA"/>
        </w:rPr>
        <w:t>mouse lymphoma cells</w:t>
      </w:r>
      <w:r w:rsidR="001C5F1B">
        <w:rPr>
          <w:lang w:val="en-AU" w:bidi="ar-SA"/>
        </w:rPr>
        <w:t>,</w:t>
      </w:r>
      <w:r w:rsidR="0093453B">
        <w:rPr>
          <w:lang w:val="en-AU" w:bidi="ar-SA"/>
        </w:rPr>
        <w:t xml:space="preserve"> under the conditions of this study</w:t>
      </w:r>
      <w:r w:rsidRPr="00EC273B">
        <w:rPr>
          <w:lang w:val="en-AU" w:bidi="ar-SA"/>
        </w:rPr>
        <w:t>.</w:t>
      </w:r>
    </w:p>
    <w:p w14:paraId="2170AA92" w14:textId="3AD6B01D" w:rsidR="00F174E4" w:rsidRPr="00EC273B" w:rsidRDefault="00C42CDD" w:rsidP="00F174E4">
      <w:pPr>
        <w:pStyle w:val="Heading3"/>
        <w:rPr>
          <w:color w:val="auto"/>
          <w:lang w:val="en-AU"/>
        </w:rPr>
      </w:pPr>
      <w:bookmarkStart w:id="59" w:name="_Toc53473528"/>
      <w:bookmarkStart w:id="60" w:name="_Toc85467278"/>
      <w:r>
        <w:rPr>
          <w:color w:val="auto"/>
          <w:lang w:val="en-AU"/>
        </w:rPr>
        <w:t>3.3.4</w:t>
      </w:r>
      <w:r w:rsidR="00F174E4" w:rsidRPr="00EC273B">
        <w:rPr>
          <w:color w:val="auto"/>
          <w:lang w:val="en-AU"/>
        </w:rPr>
        <w:tab/>
        <w:t>Potential for allergenicity</w:t>
      </w:r>
      <w:bookmarkEnd w:id="59"/>
      <w:bookmarkEnd w:id="60"/>
      <w:r w:rsidR="00F174E4" w:rsidRPr="00EC273B">
        <w:rPr>
          <w:color w:val="auto"/>
          <w:lang w:val="en-AU"/>
        </w:rPr>
        <w:t xml:space="preserve"> </w:t>
      </w:r>
    </w:p>
    <w:p w14:paraId="5B914472" w14:textId="17F672E1" w:rsidR="00726D95" w:rsidRPr="00EC273B" w:rsidRDefault="00653C0C" w:rsidP="00F174E4">
      <w:pPr>
        <w:rPr>
          <w:lang w:val="en-AU" w:eastAsia="en-AU"/>
        </w:rPr>
      </w:pPr>
      <w:r>
        <w:rPr>
          <w:lang w:val="en-AU" w:eastAsia="en-AU"/>
        </w:rPr>
        <w:t>The applicant provided details of an</w:t>
      </w:r>
      <w:r w:rsidR="007E4F59" w:rsidRPr="00EC273B">
        <w:rPr>
          <w:lang w:val="en-AU" w:eastAsia="en-AU"/>
        </w:rPr>
        <w:t xml:space="preserve"> alignment search of the full-length </w:t>
      </w:r>
      <w:r w:rsidR="00660EF7">
        <w:rPr>
          <w:lang w:val="en-AU" w:bidi="ar-SA"/>
        </w:rPr>
        <w:t>beta-f</w:t>
      </w:r>
      <w:r w:rsidR="00726D95" w:rsidRPr="00EC273B">
        <w:rPr>
          <w:lang w:val="en-AU" w:eastAsia="en-AU" w:bidi="ar-SA"/>
        </w:rPr>
        <w:t>ructofuranosidase</w:t>
      </w:r>
      <w:r w:rsidR="00726D95" w:rsidRPr="00EC273B">
        <w:rPr>
          <w:lang w:val="en-AU" w:bidi="ar-SA"/>
        </w:rPr>
        <w:t xml:space="preserve"> </w:t>
      </w:r>
      <w:r w:rsidR="007E4F59" w:rsidRPr="00EC273B">
        <w:rPr>
          <w:lang w:val="en-AU" w:eastAsia="en-AU"/>
        </w:rPr>
        <w:t xml:space="preserve">amino acid sequence </w:t>
      </w:r>
      <w:r w:rsidR="00726D95" w:rsidRPr="00EC273B">
        <w:rPr>
          <w:lang w:val="en-AU" w:eastAsia="en-AU"/>
        </w:rPr>
        <w:t>against</w:t>
      </w:r>
      <w:r w:rsidR="007E4F59" w:rsidRPr="00EC273B">
        <w:rPr>
          <w:lang w:val="en-AU" w:eastAsia="en-AU"/>
        </w:rPr>
        <w:t xml:space="preserve"> the </w:t>
      </w:r>
      <w:hyperlink r:id="rId19" w:history="1">
        <w:r w:rsidR="007E4F59" w:rsidRPr="008552A1">
          <w:rPr>
            <w:rStyle w:val="Hyperlink"/>
            <w:lang w:val="en-AU" w:eastAsia="en-AU"/>
          </w:rPr>
          <w:t>AllergenOnline</w:t>
        </w:r>
      </w:hyperlink>
      <w:r w:rsidR="00776351">
        <w:rPr>
          <w:rStyle w:val="FootnoteReference"/>
          <w:color w:val="3333FF"/>
          <w:u w:val="single"/>
          <w:lang w:val="en-AU" w:eastAsia="en-AU"/>
        </w:rPr>
        <w:footnoteReference w:id="7"/>
      </w:r>
      <w:r w:rsidR="007E4F59" w:rsidRPr="00EC273B">
        <w:rPr>
          <w:lang w:val="en-AU" w:eastAsia="en-AU"/>
        </w:rPr>
        <w:t xml:space="preserve"> database with an </w:t>
      </w:r>
      <w:r w:rsidR="00726D95" w:rsidRPr="00EC273B">
        <w:rPr>
          <w:lang w:val="en-AU" w:eastAsia="en-AU"/>
        </w:rPr>
        <w:t>E-value</w:t>
      </w:r>
      <w:r w:rsidR="00776351">
        <w:rPr>
          <w:rStyle w:val="FootnoteReference"/>
          <w:lang w:val="en-AU" w:eastAsia="en-AU"/>
        </w:rPr>
        <w:footnoteReference w:id="8"/>
      </w:r>
      <w:r w:rsidR="00726D95" w:rsidRPr="00EC273B">
        <w:rPr>
          <w:lang w:val="en-AU" w:eastAsia="en-AU"/>
        </w:rPr>
        <w:t xml:space="preserve"> cut-off of</w:t>
      </w:r>
      <w:r w:rsidR="007E4F59" w:rsidRPr="00EC273B">
        <w:rPr>
          <w:lang w:val="en-AU" w:eastAsia="en-AU"/>
        </w:rPr>
        <w:t xml:space="preserve"> 1</w:t>
      </w:r>
      <w:r w:rsidR="00726D95" w:rsidRPr="00EC273B">
        <w:rPr>
          <w:lang w:val="en-AU" w:eastAsia="en-AU"/>
        </w:rPr>
        <w:t>.0</w:t>
      </w:r>
      <w:r w:rsidR="007E4F59" w:rsidRPr="00EC273B">
        <w:rPr>
          <w:lang w:val="en-AU" w:eastAsia="en-AU"/>
        </w:rPr>
        <w:t xml:space="preserve"> (Oct</w:t>
      </w:r>
      <w:r w:rsidR="00726D95" w:rsidRPr="00EC273B">
        <w:rPr>
          <w:lang w:val="en-AU" w:eastAsia="en-AU"/>
        </w:rPr>
        <w:t>ober</w:t>
      </w:r>
      <w:r w:rsidR="007E4F59" w:rsidRPr="00EC273B">
        <w:rPr>
          <w:lang w:val="en-AU" w:eastAsia="en-AU"/>
        </w:rPr>
        <w:t>, 2014</w:t>
      </w:r>
      <w:r w:rsidR="007E4F59" w:rsidRPr="00660EF7">
        <w:rPr>
          <w:lang w:val="en-AU" w:eastAsia="en-AU"/>
        </w:rPr>
        <w:t>). A positive match was identified wit</w:t>
      </w:r>
      <w:r w:rsidR="00726D95" w:rsidRPr="00660EF7">
        <w:rPr>
          <w:lang w:val="en-AU" w:eastAsia="en-AU"/>
        </w:rPr>
        <w:t xml:space="preserve">h peanut agglutinin precursor from </w:t>
      </w:r>
      <w:r w:rsidR="007E4F59" w:rsidRPr="00660EF7">
        <w:rPr>
          <w:i/>
          <w:lang w:val="en-AU" w:eastAsia="en-AU"/>
        </w:rPr>
        <w:t>Arachis hypogaea</w:t>
      </w:r>
      <w:r w:rsidR="00F83E2B" w:rsidRPr="00660EF7">
        <w:rPr>
          <w:lang w:val="en-AU" w:eastAsia="en-AU"/>
        </w:rPr>
        <w:t>,</w:t>
      </w:r>
      <w:r w:rsidR="007E4F59" w:rsidRPr="00660EF7">
        <w:rPr>
          <w:lang w:val="en-AU" w:eastAsia="en-AU"/>
        </w:rPr>
        <w:t xml:space="preserve"> demonstrating an E-value of 0.84 and 26.4% sequence identity</w:t>
      </w:r>
      <w:r w:rsidR="00726D95" w:rsidRPr="00660EF7">
        <w:rPr>
          <w:lang w:val="en-AU" w:eastAsia="en-AU"/>
        </w:rPr>
        <w:t>. Given</w:t>
      </w:r>
      <w:r w:rsidR="00726D95" w:rsidRPr="00EC273B">
        <w:rPr>
          <w:lang w:val="en-AU" w:eastAsia="en-AU"/>
        </w:rPr>
        <w:t xml:space="preserve"> the low sequence similarity, this match was not deemed significant. A second search using an 80mer sliding window with</w:t>
      </w:r>
      <w:r w:rsidR="009B008D">
        <w:rPr>
          <w:lang w:val="en-AU" w:eastAsia="en-AU"/>
        </w:rPr>
        <w:t xml:space="preserve"> a cut-off of &gt;</w:t>
      </w:r>
      <w:r w:rsidR="00726D95" w:rsidRPr="00EC273B">
        <w:rPr>
          <w:lang w:val="en-AU" w:eastAsia="en-AU"/>
        </w:rPr>
        <w:t xml:space="preserve"> 35% homology did not identify any similarities with known allergens (January, 2015). </w:t>
      </w:r>
    </w:p>
    <w:p w14:paraId="2F4ADDEE" w14:textId="77777777" w:rsidR="00726D95" w:rsidRPr="00EC273B" w:rsidRDefault="00726D95" w:rsidP="00F174E4">
      <w:pPr>
        <w:rPr>
          <w:lang w:val="en-AU" w:eastAsia="en-AU"/>
        </w:rPr>
      </w:pPr>
    </w:p>
    <w:p w14:paraId="4F9721CB" w14:textId="1AED3D4D" w:rsidR="00F174E4" w:rsidRDefault="00726D95" w:rsidP="00F174E4">
      <w:pPr>
        <w:rPr>
          <w:lang w:val="en-AU" w:eastAsia="en-AU"/>
        </w:rPr>
      </w:pPr>
      <w:r w:rsidRPr="00EC273B">
        <w:rPr>
          <w:lang w:val="en-AU" w:eastAsia="en-AU"/>
        </w:rPr>
        <w:t xml:space="preserve">Given that both database searches were performed more than 24 months ago, FSANZ re-submitted both sequence searches (October, 2020), </w:t>
      </w:r>
      <w:r w:rsidR="00660EF7">
        <w:rPr>
          <w:lang w:val="en-AU" w:eastAsia="en-AU"/>
        </w:rPr>
        <w:t xml:space="preserve">which </w:t>
      </w:r>
      <w:r w:rsidR="00420FC7" w:rsidRPr="00EC273B">
        <w:rPr>
          <w:lang w:val="en-AU" w:eastAsia="en-AU"/>
        </w:rPr>
        <w:t>confirm</w:t>
      </w:r>
      <w:r w:rsidR="00660EF7">
        <w:rPr>
          <w:lang w:val="en-AU" w:eastAsia="en-AU"/>
        </w:rPr>
        <w:t>ed</w:t>
      </w:r>
      <w:r w:rsidRPr="00EC273B">
        <w:rPr>
          <w:lang w:val="en-AU" w:eastAsia="en-AU"/>
        </w:rPr>
        <w:t xml:space="preserve"> that no recently added </w:t>
      </w:r>
      <w:r w:rsidR="000C5F44">
        <w:rPr>
          <w:lang w:val="en-AU" w:eastAsia="en-AU"/>
        </w:rPr>
        <w:t xml:space="preserve">allergen </w:t>
      </w:r>
      <w:r w:rsidRPr="00EC273B">
        <w:rPr>
          <w:lang w:val="en-AU" w:eastAsia="en-AU"/>
        </w:rPr>
        <w:t>sequences</w:t>
      </w:r>
      <w:r w:rsidR="00420FC7" w:rsidRPr="00EC273B">
        <w:rPr>
          <w:lang w:val="en-AU" w:eastAsia="en-AU"/>
        </w:rPr>
        <w:t xml:space="preserve"> show</w:t>
      </w:r>
      <w:r w:rsidRPr="00EC273B">
        <w:rPr>
          <w:lang w:val="en-AU" w:eastAsia="en-AU"/>
        </w:rPr>
        <w:t xml:space="preserve"> similar</w:t>
      </w:r>
      <w:r w:rsidR="00420FC7" w:rsidRPr="00EC273B">
        <w:rPr>
          <w:lang w:val="en-AU" w:eastAsia="en-AU"/>
        </w:rPr>
        <w:t>ity</w:t>
      </w:r>
      <w:r w:rsidRPr="00EC273B">
        <w:rPr>
          <w:lang w:val="en-AU" w:eastAsia="en-AU"/>
        </w:rPr>
        <w:t xml:space="preserve"> to the </w:t>
      </w:r>
      <w:r w:rsidR="00660EF7">
        <w:rPr>
          <w:lang w:val="en-AU" w:bidi="ar-SA"/>
        </w:rPr>
        <w:t>beta-f</w:t>
      </w:r>
      <w:r w:rsidRPr="00EC273B">
        <w:rPr>
          <w:lang w:val="en-AU" w:eastAsia="en-AU" w:bidi="ar-SA"/>
        </w:rPr>
        <w:t>ructofuranosidase</w:t>
      </w:r>
      <w:r w:rsidRPr="00EC273B">
        <w:rPr>
          <w:lang w:val="en-AU" w:bidi="ar-SA"/>
        </w:rPr>
        <w:t xml:space="preserve"> sequence</w:t>
      </w:r>
      <w:r w:rsidRPr="00EC273B">
        <w:rPr>
          <w:lang w:val="en-AU" w:eastAsia="en-AU"/>
        </w:rPr>
        <w:t xml:space="preserve">. </w:t>
      </w:r>
    </w:p>
    <w:p w14:paraId="1A558087" w14:textId="7905C40C" w:rsidR="00E401F5" w:rsidRDefault="00E401F5" w:rsidP="00F174E4">
      <w:pPr>
        <w:rPr>
          <w:lang w:val="en-AU" w:eastAsia="en-AU"/>
        </w:rPr>
      </w:pPr>
    </w:p>
    <w:p w14:paraId="64688913" w14:textId="1F1ECC5A" w:rsidR="00E401F5" w:rsidRDefault="00E401F5" w:rsidP="00E401F5">
      <w:pPr>
        <w:rPr>
          <w:lang w:val="en-AU"/>
        </w:rPr>
      </w:pPr>
      <w:r>
        <w:rPr>
          <w:lang w:val="en-AU"/>
        </w:rPr>
        <w:t xml:space="preserve">As noted in </w:t>
      </w:r>
      <w:r w:rsidR="000600BF">
        <w:rPr>
          <w:lang w:val="en-AU"/>
        </w:rPr>
        <w:t xml:space="preserve">the </w:t>
      </w:r>
      <w:r w:rsidR="0085702D">
        <w:rPr>
          <w:lang w:val="en-AU"/>
        </w:rPr>
        <w:t>food technology assessment</w:t>
      </w:r>
      <w:r w:rsidR="001A2933">
        <w:rPr>
          <w:lang w:val="en-AU"/>
        </w:rPr>
        <w:t>,</w:t>
      </w:r>
      <w:r>
        <w:rPr>
          <w:lang w:val="en-AU"/>
        </w:rPr>
        <w:t xml:space="preserve"> r</w:t>
      </w:r>
      <w:r w:rsidRPr="00E401F5">
        <w:rPr>
          <w:lang w:val="en-AU"/>
        </w:rPr>
        <w:t>esidual amounts of soybean material may remain in the final enzyme preparation</w:t>
      </w:r>
      <w:r w:rsidR="001A2933">
        <w:rPr>
          <w:lang w:val="en-AU"/>
        </w:rPr>
        <w:t xml:space="preserve">. </w:t>
      </w:r>
      <w:r w:rsidR="00167D32">
        <w:rPr>
          <w:lang w:val="en-AU"/>
        </w:rPr>
        <w:t xml:space="preserve">As part of </w:t>
      </w:r>
      <w:r w:rsidR="00167D32">
        <w:rPr>
          <w:lang w:eastAsia="en-AU" w:bidi="ar-SA"/>
        </w:rPr>
        <w:t>application A1055, the</w:t>
      </w:r>
      <w:r w:rsidR="00587548">
        <w:rPr>
          <w:rFonts w:cs="Arial"/>
          <w:szCs w:val="22"/>
        </w:rPr>
        <w:t xml:space="preserve"> </w:t>
      </w:r>
      <w:r w:rsidR="00587548" w:rsidRPr="001A2933">
        <w:rPr>
          <w:lang w:val="en-AU"/>
        </w:rPr>
        <w:t>applicant previously demonstrated that no beta-fructofuranosidase enzyme is carried into the final FOS product</w:t>
      </w:r>
      <w:r w:rsidR="00587548">
        <w:rPr>
          <w:lang w:val="en-AU"/>
        </w:rPr>
        <w:t xml:space="preserve"> w</w:t>
      </w:r>
      <w:r w:rsidR="001A2933">
        <w:rPr>
          <w:lang w:val="en-AU"/>
        </w:rPr>
        <w:t xml:space="preserve">hen used </w:t>
      </w:r>
      <w:r w:rsidR="00167D32">
        <w:rPr>
          <w:lang w:val="en-AU"/>
        </w:rPr>
        <w:t xml:space="preserve">for the manufacture of FOS </w:t>
      </w:r>
      <w:r w:rsidR="001A2933">
        <w:rPr>
          <w:lang w:val="en-AU"/>
        </w:rPr>
        <w:t xml:space="preserve">as </w:t>
      </w:r>
      <w:r w:rsidR="001A2933">
        <w:rPr>
          <w:rFonts w:cs="Arial"/>
          <w:szCs w:val="22"/>
        </w:rPr>
        <w:t>permitted in the Code</w:t>
      </w:r>
      <w:r w:rsidR="001A2933">
        <w:rPr>
          <w:lang w:val="en-AU"/>
        </w:rPr>
        <w:t xml:space="preserve"> (FSANZ 2013)</w:t>
      </w:r>
      <w:r w:rsidR="001A2933" w:rsidRPr="00B27803">
        <w:t>. No other amendments to the</w:t>
      </w:r>
      <w:r w:rsidR="00587548">
        <w:t>se permissions was</w:t>
      </w:r>
      <w:r w:rsidR="001A2933" w:rsidRPr="00B27803">
        <w:t xml:space="preserve"> sought</w:t>
      </w:r>
      <w:r>
        <w:rPr>
          <w:lang w:val="en-AU"/>
        </w:rPr>
        <w:t xml:space="preserve">. </w:t>
      </w:r>
    </w:p>
    <w:p w14:paraId="461DFF0F" w14:textId="1D5D17B2" w:rsidR="00F174E4" w:rsidRDefault="00C42CDD" w:rsidP="00231679">
      <w:pPr>
        <w:pStyle w:val="Heading3"/>
        <w:rPr>
          <w:lang w:val="en-AU"/>
        </w:rPr>
      </w:pPr>
      <w:bookmarkStart w:id="61" w:name="_Toc85467279"/>
      <w:r>
        <w:rPr>
          <w:lang w:val="en-AU"/>
        </w:rPr>
        <w:t>3.3.5</w:t>
      </w:r>
      <w:r w:rsidR="00231679">
        <w:rPr>
          <w:lang w:val="en-AU"/>
        </w:rPr>
        <w:tab/>
      </w:r>
      <w:r w:rsidR="0094047D">
        <w:rPr>
          <w:lang w:val="en-AU"/>
        </w:rPr>
        <w:t>Immobilisation agent</w:t>
      </w:r>
      <w:bookmarkEnd w:id="61"/>
    </w:p>
    <w:p w14:paraId="039583EA" w14:textId="1BD85CD0" w:rsidR="0094047D" w:rsidRPr="00EC273B" w:rsidRDefault="00BD2C6B" w:rsidP="00266932">
      <w:pPr>
        <w:rPr>
          <w:lang w:val="en-AU" w:eastAsia="en-AU"/>
        </w:rPr>
      </w:pPr>
      <w:r>
        <w:rPr>
          <w:lang w:val="en-AU" w:eastAsia="en-AU"/>
        </w:rPr>
        <w:t xml:space="preserve">In </w:t>
      </w:r>
      <w:r w:rsidR="00CB13FE">
        <w:rPr>
          <w:lang w:val="en-AU" w:eastAsia="en-AU"/>
        </w:rPr>
        <w:t>some manufacturing practices</w:t>
      </w:r>
      <w:r>
        <w:rPr>
          <w:lang w:val="en-AU" w:eastAsia="en-AU"/>
        </w:rPr>
        <w:t xml:space="preserve">, the </w:t>
      </w:r>
      <w:r w:rsidR="007F452E">
        <w:rPr>
          <w:lang w:val="en-AU" w:eastAsia="en-AU" w:bidi="ar-SA"/>
        </w:rPr>
        <w:t>beta</w:t>
      </w:r>
      <w:r w:rsidRPr="00EC273B">
        <w:rPr>
          <w:lang w:val="en-AU" w:eastAsia="en-AU" w:bidi="ar-SA"/>
        </w:rPr>
        <w:t>-fructofuranosidase</w:t>
      </w:r>
      <w:r>
        <w:rPr>
          <w:lang w:val="en-AU" w:eastAsia="en-AU" w:bidi="ar-SA"/>
        </w:rPr>
        <w:t xml:space="preserve"> enzyme is immobilised </w:t>
      </w:r>
      <w:r w:rsidR="000F47B9">
        <w:rPr>
          <w:lang w:val="en-AU" w:eastAsia="en-AU" w:bidi="ar-SA"/>
        </w:rPr>
        <w:t xml:space="preserve">before use in the </w:t>
      </w:r>
      <w:r w:rsidR="00CB13FE">
        <w:rPr>
          <w:lang w:val="en-AU" w:eastAsia="en-AU" w:bidi="ar-SA"/>
        </w:rPr>
        <w:t>FOS reaction.</w:t>
      </w:r>
      <w:r w:rsidR="00CB13FE">
        <w:t xml:space="preserve"> The applicant has provided documentation confirming that this immobilisation agent is compliant with European requirements for materials and articles intended to come into contact with food</w:t>
      </w:r>
      <w:r w:rsidR="00CB13FE">
        <w:rPr>
          <w:lang w:val="en-AU" w:eastAsia="en-AU" w:bidi="ar-SA"/>
        </w:rPr>
        <w:t xml:space="preserve">. </w:t>
      </w:r>
      <w:r w:rsidR="00266932">
        <w:rPr>
          <w:lang w:val="en-AU" w:eastAsia="en-AU" w:bidi="ar-SA"/>
        </w:rPr>
        <w:t>The enzyme and immobilisation agent is removed completely from the final FOS product</w:t>
      </w:r>
      <w:r w:rsidR="0076795A">
        <w:rPr>
          <w:lang w:val="en-AU" w:eastAsia="en-AU" w:bidi="ar-SA"/>
        </w:rPr>
        <w:t>.</w:t>
      </w:r>
    </w:p>
    <w:p w14:paraId="3C547B0E" w14:textId="50C5FD19" w:rsidR="00F174E4" w:rsidRPr="00EC273B" w:rsidRDefault="00F174E4" w:rsidP="00F174E4">
      <w:pPr>
        <w:pStyle w:val="Heading3"/>
        <w:rPr>
          <w:color w:val="auto"/>
          <w:lang w:val="en-AU"/>
        </w:rPr>
      </w:pPr>
      <w:bookmarkStart w:id="62" w:name="_Toc53473529"/>
      <w:bookmarkStart w:id="63" w:name="_Toc85467280"/>
      <w:r w:rsidRPr="00EC273B">
        <w:rPr>
          <w:color w:val="auto"/>
          <w:lang w:val="en-AU"/>
        </w:rPr>
        <w:t>3.3.</w:t>
      </w:r>
      <w:r w:rsidR="00C42CDD">
        <w:rPr>
          <w:color w:val="auto"/>
          <w:lang w:val="en-AU"/>
        </w:rPr>
        <w:t>6</w:t>
      </w:r>
      <w:r w:rsidRPr="00EC273B">
        <w:rPr>
          <w:color w:val="auto"/>
          <w:lang w:val="en-AU"/>
        </w:rPr>
        <w:tab/>
        <w:t>Assessments by other regulatory agencies</w:t>
      </w:r>
      <w:bookmarkEnd w:id="62"/>
      <w:bookmarkEnd w:id="63"/>
    </w:p>
    <w:p w14:paraId="40C33EA8" w14:textId="5EA8E26A" w:rsidR="00420FC7" w:rsidRDefault="00EC273B" w:rsidP="00F174E4">
      <w:pPr>
        <w:rPr>
          <w:lang w:val="en-AU" w:bidi="ar-SA"/>
        </w:rPr>
      </w:pPr>
      <w:r w:rsidRPr="00EC273B">
        <w:rPr>
          <w:lang w:val="en-AU" w:bidi="ar-SA"/>
        </w:rPr>
        <w:t xml:space="preserve">The applicant </w:t>
      </w:r>
      <w:r w:rsidR="008378BD">
        <w:rPr>
          <w:lang w:val="en-AU" w:bidi="ar-SA"/>
        </w:rPr>
        <w:t xml:space="preserve">is </w:t>
      </w:r>
      <w:r w:rsidR="000C5F44">
        <w:rPr>
          <w:lang w:val="en-AU" w:bidi="ar-SA"/>
        </w:rPr>
        <w:t xml:space="preserve">currently </w:t>
      </w:r>
      <w:r w:rsidR="007E2B69" w:rsidRPr="00EC273B">
        <w:rPr>
          <w:lang w:val="en-AU" w:bidi="ar-SA"/>
        </w:rPr>
        <w:t>appl</w:t>
      </w:r>
      <w:r w:rsidR="007E2B69">
        <w:rPr>
          <w:lang w:val="en-AU" w:bidi="ar-SA"/>
        </w:rPr>
        <w:t>ying</w:t>
      </w:r>
      <w:r w:rsidRPr="00EC273B">
        <w:rPr>
          <w:lang w:val="en-AU" w:bidi="ar-SA"/>
        </w:rPr>
        <w:t xml:space="preserve"> for </w:t>
      </w:r>
      <w:r>
        <w:rPr>
          <w:lang w:val="en-AU" w:bidi="ar-SA"/>
        </w:rPr>
        <w:t>amended</w:t>
      </w:r>
      <w:r w:rsidRPr="00EC273B">
        <w:rPr>
          <w:lang w:val="en-AU" w:bidi="ar-SA"/>
        </w:rPr>
        <w:t xml:space="preserve"> authorisations in multiple jurisdictions</w:t>
      </w:r>
      <w:r w:rsidR="009F29F3">
        <w:rPr>
          <w:lang w:val="en-AU" w:bidi="ar-SA"/>
        </w:rPr>
        <w:t xml:space="preserve"> to reflect the updated taxonomic classification of the production strain</w:t>
      </w:r>
      <w:r w:rsidRPr="00EC273B">
        <w:rPr>
          <w:lang w:val="en-AU" w:bidi="ar-SA"/>
        </w:rPr>
        <w:t xml:space="preserve">. </w:t>
      </w:r>
    </w:p>
    <w:p w14:paraId="6957F27C" w14:textId="2C2742FB" w:rsidR="00EC273B" w:rsidRDefault="00EC273B" w:rsidP="00F174E4">
      <w:pPr>
        <w:rPr>
          <w:lang w:val="en-AU" w:bidi="ar-SA"/>
        </w:rPr>
      </w:pPr>
    </w:p>
    <w:p w14:paraId="79416B1A" w14:textId="5E3C521E" w:rsidR="00EC273B" w:rsidRPr="00EC273B" w:rsidRDefault="00EC273B" w:rsidP="00F174E4">
      <w:pPr>
        <w:rPr>
          <w:lang w:val="en-AU" w:eastAsia="en-AU"/>
        </w:rPr>
      </w:pPr>
      <w:r>
        <w:rPr>
          <w:lang w:val="en-AU" w:bidi="ar-SA"/>
        </w:rPr>
        <w:t xml:space="preserve">The application includes a </w:t>
      </w:r>
      <w:r w:rsidR="008378BD">
        <w:rPr>
          <w:lang w:val="en-AU" w:bidi="ar-SA"/>
        </w:rPr>
        <w:t xml:space="preserve">letter from </w:t>
      </w:r>
      <w:r w:rsidR="008378BD" w:rsidRPr="008378BD">
        <w:rPr>
          <w:lang w:val="en-AU" w:bidi="ar-SA"/>
        </w:rPr>
        <w:t>Agence Nat</w:t>
      </w:r>
      <w:r w:rsidR="008378BD">
        <w:rPr>
          <w:lang w:val="en-AU" w:bidi="ar-SA"/>
        </w:rPr>
        <w:t xml:space="preserve">ionale de Sécurité Sanitaire de </w:t>
      </w:r>
      <w:r w:rsidR="008378BD" w:rsidRPr="008378BD">
        <w:rPr>
          <w:lang w:val="en-AU" w:bidi="ar-SA"/>
        </w:rPr>
        <w:t>l’Alimentation</w:t>
      </w:r>
      <w:r w:rsidR="008378BD">
        <w:rPr>
          <w:lang w:val="en-AU" w:bidi="ar-SA"/>
        </w:rPr>
        <w:t xml:space="preserve"> </w:t>
      </w:r>
      <w:r w:rsidR="00DD2837">
        <w:rPr>
          <w:lang w:val="en-AU" w:bidi="ar-SA"/>
        </w:rPr>
        <w:t xml:space="preserve">(ANSES) informing the applicant that the production strain of this enzyme will </w:t>
      </w:r>
      <w:r w:rsidR="0008081B">
        <w:rPr>
          <w:lang w:val="en-AU" w:bidi="ar-SA"/>
        </w:rPr>
        <w:t xml:space="preserve">be changed in the </w:t>
      </w:r>
      <w:r w:rsidR="00DD2837" w:rsidRPr="00DD2837">
        <w:rPr>
          <w:lang w:val="en-AU" w:bidi="ar-SA"/>
        </w:rPr>
        <w:t>annex of the order of October 19, 2006. T</w:t>
      </w:r>
      <w:r w:rsidR="0008081B">
        <w:rPr>
          <w:lang w:val="en-AU" w:bidi="ar-SA"/>
        </w:rPr>
        <w:t xml:space="preserve">he letter states that the subject </w:t>
      </w:r>
      <w:r w:rsidR="000F47B9">
        <w:rPr>
          <w:lang w:val="en-AU" w:bidi="ar-SA"/>
        </w:rPr>
        <w:t>beta</w:t>
      </w:r>
      <w:r w:rsidR="0008081B" w:rsidRPr="00EC273B">
        <w:rPr>
          <w:lang w:val="en-AU" w:eastAsia="en-AU" w:bidi="ar-SA"/>
        </w:rPr>
        <w:t xml:space="preserve">-fructofuranosidase </w:t>
      </w:r>
      <w:r w:rsidR="00E401F5">
        <w:rPr>
          <w:lang w:val="en-AU" w:bidi="ar-SA"/>
        </w:rPr>
        <w:t>will now be referred to as “beta</w:t>
      </w:r>
      <w:r w:rsidR="00DD2837" w:rsidRPr="00DD2837">
        <w:rPr>
          <w:lang w:val="en-AU" w:bidi="ar-SA"/>
        </w:rPr>
        <w:t xml:space="preserve">-fructofuranosidase from </w:t>
      </w:r>
      <w:r w:rsidR="00DD2837" w:rsidRPr="0008081B">
        <w:rPr>
          <w:i/>
          <w:lang w:val="en-AU" w:bidi="ar-SA"/>
        </w:rPr>
        <w:t>Aspergillus niger</w:t>
      </w:r>
      <w:r w:rsidR="00DD2837" w:rsidRPr="00DD2837">
        <w:rPr>
          <w:lang w:val="en-AU" w:bidi="ar-SA"/>
        </w:rPr>
        <w:t xml:space="preserve"> (synonyms </w:t>
      </w:r>
      <w:r w:rsidR="00DD2837" w:rsidRPr="0008081B">
        <w:rPr>
          <w:i/>
          <w:lang w:val="en-AU" w:bidi="ar-SA"/>
        </w:rPr>
        <w:t>Aspergillus fijiensis</w:t>
      </w:r>
      <w:r w:rsidR="00DD2837" w:rsidRPr="00DD2837">
        <w:rPr>
          <w:lang w:val="en-AU" w:bidi="ar-SA"/>
        </w:rPr>
        <w:t xml:space="preserve">, </w:t>
      </w:r>
      <w:r w:rsidR="00DD2837" w:rsidRPr="0008081B">
        <w:rPr>
          <w:i/>
          <w:lang w:val="en-AU" w:bidi="ar-SA"/>
        </w:rPr>
        <w:t>Aspergillus japonicus</w:t>
      </w:r>
      <w:r w:rsidR="00DD2837" w:rsidRPr="00DD2837">
        <w:rPr>
          <w:lang w:val="en-AU" w:bidi="ar-SA"/>
        </w:rPr>
        <w:t>) (ATCC 20611)”.</w:t>
      </w:r>
    </w:p>
    <w:p w14:paraId="2515C2B2" w14:textId="674CFA4C" w:rsidR="006C0E17" w:rsidRDefault="006C0E17" w:rsidP="00F174E4">
      <w:pPr>
        <w:rPr>
          <w:lang w:val="en-AU" w:eastAsia="en-AU"/>
        </w:rPr>
      </w:pPr>
    </w:p>
    <w:p w14:paraId="53620A05" w14:textId="2B932293" w:rsidR="00F174E4" w:rsidRDefault="006C0E17" w:rsidP="00F174E4">
      <w:pPr>
        <w:rPr>
          <w:lang w:val="en-AU"/>
        </w:rPr>
      </w:pPr>
      <w:r>
        <w:rPr>
          <w:lang w:val="en-AU" w:eastAsia="en-AU"/>
        </w:rPr>
        <w:t xml:space="preserve">Health Canada have </w:t>
      </w:r>
      <w:r w:rsidR="00021964">
        <w:rPr>
          <w:lang w:val="en-AU" w:eastAsia="en-AU"/>
        </w:rPr>
        <w:t>released a notice of modification (</w:t>
      </w:r>
      <w:hyperlink r:id="rId20" w:history="1">
        <w:r w:rsidR="00021964" w:rsidRPr="00AD4ECA">
          <w:rPr>
            <w:rStyle w:val="Hyperlink"/>
            <w:lang w:val="en-AU" w:eastAsia="en-AU"/>
          </w:rPr>
          <w:t>NOM/ADM-0144</w:t>
        </w:r>
      </w:hyperlink>
      <w:r w:rsidR="00021964">
        <w:rPr>
          <w:lang w:val="en-AU" w:eastAsia="en-AU"/>
        </w:rPr>
        <w:t xml:space="preserve">) to enable to use of </w:t>
      </w:r>
      <w:r w:rsidR="00021964" w:rsidRPr="00AD4ECA">
        <w:rPr>
          <w:i/>
          <w:lang w:val="en-AU" w:eastAsia="en-AU"/>
        </w:rPr>
        <w:t xml:space="preserve">A </w:t>
      </w:r>
      <w:r w:rsidR="00AD4ECA" w:rsidRPr="0008081B">
        <w:rPr>
          <w:i/>
          <w:lang w:val="en-AU" w:bidi="ar-SA"/>
        </w:rPr>
        <w:t>fijiensis</w:t>
      </w:r>
      <w:r w:rsidR="00AD4ECA">
        <w:rPr>
          <w:lang w:val="en-AU" w:eastAsia="en-AU"/>
        </w:rPr>
        <w:t xml:space="preserve"> </w:t>
      </w:r>
      <w:r w:rsidR="00021964">
        <w:rPr>
          <w:lang w:val="en-AU" w:eastAsia="en-AU"/>
        </w:rPr>
        <w:t>as a source organism for</w:t>
      </w:r>
      <w:r w:rsidR="009C0813">
        <w:rPr>
          <w:lang w:val="en-AU" w:eastAsia="en-AU"/>
        </w:rPr>
        <w:t xml:space="preserve"> invertase</w:t>
      </w:r>
      <w:r w:rsidR="00021964">
        <w:rPr>
          <w:lang w:val="en-AU" w:eastAsia="en-AU"/>
        </w:rPr>
        <w:t xml:space="preserve"> </w:t>
      </w:r>
      <w:r w:rsidR="009C0813">
        <w:rPr>
          <w:lang w:val="en-AU" w:eastAsia="en-AU"/>
        </w:rPr>
        <w:t>(</w:t>
      </w:r>
      <w:r w:rsidR="00E401F5">
        <w:rPr>
          <w:lang w:val="en-AU" w:eastAsia="en-AU" w:bidi="ar-SA"/>
        </w:rPr>
        <w:t>beta-</w:t>
      </w:r>
      <w:r w:rsidR="00021964" w:rsidRPr="00EC273B">
        <w:rPr>
          <w:lang w:val="en-AU" w:eastAsia="en-AU" w:bidi="ar-SA"/>
        </w:rPr>
        <w:t>fructofuranosidase</w:t>
      </w:r>
      <w:r w:rsidR="009C0813">
        <w:rPr>
          <w:lang w:val="en-AU" w:eastAsia="en-AU" w:bidi="ar-SA"/>
        </w:rPr>
        <w:t>)</w:t>
      </w:r>
      <w:r w:rsidR="00AD4ECA">
        <w:rPr>
          <w:lang w:val="en-AU" w:eastAsia="en-AU" w:bidi="ar-SA"/>
        </w:rPr>
        <w:t>,</w:t>
      </w:r>
      <w:r w:rsidR="00021964">
        <w:rPr>
          <w:lang w:val="en-AU" w:eastAsia="en-AU"/>
        </w:rPr>
        <w:t xml:space="preserve"> reflecting </w:t>
      </w:r>
      <w:r w:rsidR="009C0813">
        <w:rPr>
          <w:lang w:val="en-AU" w:eastAsia="en-AU"/>
        </w:rPr>
        <w:t xml:space="preserve">updated scientific and taxonomic data. </w:t>
      </w:r>
      <w:r w:rsidR="001C6388" w:rsidRPr="001C6388">
        <w:rPr>
          <w:lang w:val="en-AU"/>
        </w:rPr>
        <w:t>Health Canada's Food Directorate determined that an upda</w:t>
      </w:r>
      <w:r w:rsidR="001C6388">
        <w:rPr>
          <w:lang w:val="en-AU"/>
        </w:rPr>
        <w:t xml:space="preserve">te to the source organism name </w:t>
      </w:r>
      <w:r w:rsidR="001C6388" w:rsidRPr="001C6388">
        <w:rPr>
          <w:lang w:val="en-AU"/>
        </w:rPr>
        <w:t>did not require a pre-market safety assessment</w:t>
      </w:r>
      <w:r w:rsidR="001C6388">
        <w:rPr>
          <w:lang w:val="en-AU"/>
        </w:rPr>
        <w:t>.</w:t>
      </w:r>
    </w:p>
    <w:p w14:paraId="235E033E" w14:textId="77777777" w:rsidR="001D3A89" w:rsidRPr="00F46E4C" w:rsidRDefault="001D3A89" w:rsidP="009F5293">
      <w:pPr>
        <w:pStyle w:val="Heading2"/>
      </w:pPr>
      <w:bookmarkStart w:id="64" w:name="_Toc85467281"/>
      <w:r>
        <w:t>3.4</w:t>
      </w:r>
      <w:r w:rsidRPr="00F46E4C">
        <w:tab/>
        <w:t xml:space="preserve">Dietary </w:t>
      </w:r>
      <w:r>
        <w:t>exposure</w:t>
      </w:r>
      <w:r w:rsidRPr="00F46E4C">
        <w:t xml:space="preserve"> </w:t>
      </w:r>
      <w:r>
        <w:t>a</w:t>
      </w:r>
      <w:r w:rsidRPr="00F46E4C">
        <w:t>ssessment</w:t>
      </w:r>
      <w:bookmarkEnd w:id="64"/>
    </w:p>
    <w:p w14:paraId="68AF2F26" w14:textId="0262763B" w:rsidR="001D3A89" w:rsidRPr="00C42907" w:rsidRDefault="001D3A89" w:rsidP="001D3A89">
      <w:pPr>
        <w:rPr>
          <w:szCs w:val="22"/>
        </w:rPr>
      </w:pPr>
      <w:r w:rsidRPr="00C42907">
        <w:rPr>
          <w:szCs w:val="22"/>
        </w:rPr>
        <w:t xml:space="preserve">The objective of the dietary </w:t>
      </w:r>
      <w:r>
        <w:rPr>
          <w:szCs w:val="22"/>
        </w:rPr>
        <w:t>exposure</w:t>
      </w:r>
      <w:r w:rsidRPr="00C42907">
        <w:rPr>
          <w:szCs w:val="22"/>
        </w:rPr>
        <w:t xml:space="preserve"> assessment was to review the budget method calculation presented by the applicant as a ‘worse-case scenario’ approach to estimating likely levels </w:t>
      </w:r>
      <w:r w:rsidRPr="001D3A89">
        <w:rPr>
          <w:lang w:val="en-AU" w:eastAsia="en-AU"/>
        </w:rPr>
        <w:t>of</w:t>
      </w:r>
      <w:r w:rsidRPr="00C42907">
        <w:rPr>
          <w:szCs w:val="22"/>
        </w:rPr>
        <w:t xml:space="preserve"> dietary </w:t>
      </w:r>
      <w:r>
        <w:rPr>
          <w:szCs w:val="22"/>
        </w:rPr>
        <w:t xml:space="preserve">exposure </w:t>
      </w:r>
      <w:r w:rsidRPr="00C42907">
        <w:rPr>
          <w:szCs w:val="22"/>
        </w:rPr>
        <w:t xml:space="preserve">assuming all added </w:t>
      </w:r>
      <w:r w:rsidR="00245977">
        <w:rPr>
          <w:szCs w:val="20"/>
        </w:rPr>
        <w:t>beta</w:t>
      </w:r>
      <w:r w:rsidRPr="008F2FA5">
        <w:rPr>
          <w:szCs w:val="20"/>
        </w:rPr>
        <w:t xml:space="preserve">-fructofuranosidase food enzyme </w:t>
      </w:r>
      <w:r w:rsidRPr="00C42907">
        <w:rPr>
          <w:szCs w:val="22"/>
        </w:rPr>
        <w:t>remained in the food.</w:t>
      </w:r>
    </w:p>
    <w:p w14:paraId="23B0A58A" w14:textId="77777777" w:rsidR="001D3A89" w:rsidRPr="00C42907" w:rsidRDefault="001D3A89" w:rsidP="001D3A89">
      <w:pPr>
        <w:rPr>
          <w:szCs w:val="22"/>
        </w:rPr>
      </w:pPr>
    </w:p>
    <w:p w14:paraId="4ACB65B7" w14:textId="228C70E1" w:rsidR="001D3A89" w:rsidRPr="00330DE7" w:rsidRDefault="001D3A89" w:rsidP="001D3A89">
      <w:pPr>
        <w:rPr>
          <w:szCs w:val="22"/>
        </w:rPr>
      </w:pPr>
      <w:r w:rsidRPr="00C42907">
        <w:rPr>
          <w:szCs w:val="22"/>
        </w:rPr>
        <w:t xml:space="preserve">The budget method is a valid screening tool for estimating the theoretical maximum daily </w:t>
      </w:r>
      <w:r w:rsidRPr="00330DE7">
        <w:rPr>
          <w:szCs w:val="22"/>
        </w:rPr>
        <w:t xml:space="preserve">intake (TMDI) of a food additive (Douglass </w:t>
      </w:r>
      <w:r w:rsidRPr="00BC73EC">
        <w:rPr>
          <w:szCs w:val="22"/>
        </w:rPr>
        <w:t>et al.,</w:t>
      </w:r>
      <w:r w:rsidRPr="00330DE7">
        <w:rPr>
          <w:szCs w:val="22"/>
        </w:rPr>
        <w:t xml:space="preserve"> 1997). The calculation is based on physiological food and liquid requirements, the </w:t>
      </w:r>
      <w:r w:rsidR="00324345">
        <w:rPr>
          <w:szCs w:val="22"/>
        </w:rPr>
        <w:t>processing aid</w:t>
      </w:r>
      <w:r w:rsidRPr="00330DE7">
        <w:rPr>
          <w:szCs w:val="22"/>
        </w:rPr>
        <w:t xml:space="preserve"> concentration in foods and beverages, and the proportion of foods and beverages that may contain the </w:t>
      </w:r>
      <w:r w:rsidR="00324345">
        <w:rPr>
          <w:szCs w:val="22"/>
        </w:rPr>
        <w:t>processing aid</w:t>
      </w:r>
      <w:r w:rsidRPr="00330DE7">
        <w:rPr>
          <w:szCs w:val="22"/>
        </w:rPr>
        <w:t xml:space="preserve">. The TMDI can then be compared to an ADI or a NOAEL to estimate a margin of exposure for risk characterisation purposes. </w:t>
      </w:r>
    </w:p>
    <w:p w14:paraId="7809FB5D" w14:textId="77777777" w:rsidR="001D3A89" w:rsidRPr="00330DE7" w:rsidRDefault="001D3A89" w:rsidP="001D3A89">
      <w:pPr>
        <w:rPr>
          <w:szCs w:val="22"/>
        </w:rPr>
      </w:pPr>
    </w:p>
    <w:p w14:paraId="31FD0F7A" w14:textId="77777777" w:rsidR="001D3A89" w:rsidRPr="00C42907" w:rsidRDefault="001D3A89" w:rsidP="001D3A89">
      <w:pPr>
        <w:rPr>
          <w:szCs w:val="22"/>
        </w:rPr>
      </w:pPr>
      <w:r w:rsidRPr="00330DE7">
        <w:rPr>
          <w:szCs w:val="22"/>
        </w:rPr>
        <w:t>In their budget method calculation, the applicant made the following assumptions:</w:t>
      </w:r>
    </w:p>
    <w:p w14:paraId="54479C5A" w14:textId="77777777" w:rsidR="001D3A89" w:rsidRPr="00C42907" w:rsidRDefault="001D3A89" w:rsidP="001D3A89">
      <w:pPr>
        <w:rPr>
          <w:szCs w:val="22"/>
        </w:rPr>
      </w:pPr>
    </w:p>
    <w:p w14:paraId="5A460B26" w14:textId="745F35C8" w:rsidR="001D3A89" w:rsidRPr="00840F17" w:rsidRDefault="00BC73EC" w:rsidP="00F5440F">
      <w:pPr>
        <w:pStyle w:val="FSBullet1"/>
      </w:pPr>
      <w:r>
        <w:t xml:space="preserve">the </w:t>
      </w:r>
      <w:r w:rsidR="00245977">
        <w:t>beta</w:t>
      </w:r>
      <w:r w:rsidR="001D3A89" w:rsidRPr="00840F17">
        <w:t>-fructofuranosidase food enzyme is used as a processing aid in the production of the FOS ingredient only an</w:t>
      </w:r>
      <w:r w:rsidR="0032771F">
        <w:t>d is not added directly to food</w:t>
      </w:r>
    </w:p>
    <w:p w14:paraId="4C26A492" w14:textId="77777777" w:rsidR="001D3A89" w:rsidRPr="00840F17" w:rsidRDefault="001D3A89" w:rsidP="00F5440F">
      <w:pPr>
        <w:pStyle w:val="FSBullet1"/>
        <w:numPr>
          <w:ilvl w:val="0"/>
          <w:numId w:val="0"/>
        </w:numPr>
        <w:ind w:left="567"/>
      </w:pPr>
    </w:p>
    <w:p w14:paraId="018440DF" w14:textId="6D9BE0FB" w:rsidR="001D3A89" w:rsidRPr="00196957" w:rsidRDefault="001D3A89" w:rsidP="00F5440F">
      <w:pPr>
        <w:pStyle w:val="FSBullet1"/>
        <w:rPr>
          <w:szCs w:val="22"/>
        </w:rPr>
      </w:pPr>
      <w:r w:rsidRPr="00196957">
        <w:rPr>
          <w:szCs w:val="22"/>
        </w:rPr>
        <w:t xml:space="preserve">the maximum physiological requirement for solid food (including milk) is </w:t>
      </w:r>
      <w:r w:rsidR="00196957">
        <w:rPr>
          <w:szCs w:val="22"/>
        </w:rPr>
        <w:t>50</w:t>
      </w:r>
      <w:r w:rsidRPr="00196957">
        <w:rPr>
          <w:szCs w:val="22"/>
        </w:rPr>
        <w:t> g/kg body weight/day</w:t>
      </w:r>
    </w:p>
    <w:p w14:paraId="31A53A51" w14:textId="77777777" w:rsidR="00F5440F" w:rsidRPr="00F5440F" w:rsidRDefault="00F5440F" w:rsidP="00F5440F">
      <w:pPr>
        <w:rPr>
          <w:lang w:bidi="ar-SA"/>
        </w:rPr>
      </w:pPr>
    </w:p>
    <w:p w14:paraId="49B95798" w14:textId="26FFE6E3" w:rsidR="001D3A89" w:rsidRDefault="001D3A89" w:rsidP="00F5440F">
      <w:pPr>
        <w:pStyle w:val="FSBullet1"/>
        <w:rPr>
          <w:szCs w:val="22"/>
        </w:rPr>
      </w:pPr>
      <w:r w:rsidRPr="00C42907">
        <w:rPr>
          <w:szCs w:val="22"/>
        </w:rPr>
        <w:t>the maximum physiological requirement for non-milk beverages is 100 mL/kg body weight/day (the standard level used in a budget method calculation)</w:t>
      </w:r>
    </w:p>
    <w:p w14:paraId="42495C32" w14:textId="77777777" w:rsidR="00F5440F" w:rsidRPr="00F5440F" w:rsidRDefault="00F5440F" w:rsidP="00F5440F">
      <w:pPr>
        <w:rPr>
          <w:lang w:bidi="ar-SA"/>
        </w:rPr>
      </w:pPr>
    </w:p>
    <w:p w14:paraId="66623EFB" w14:textId="2BB2DEDD" w:rsidR="001D3A89" w:rsidRDefault="001D3A89" w:rsidP="00F5440F">
      <w:pPr>
        <w:pStyle w:val="FSBullet1"/>
      </w:pPr>
      <w:r>
        <w:rPr>
          <w:szCs w:val="22"/>
        </w:rPr>
        <w:t>25</w:t>
      </w:r>
      <w:r w:rsidRPr="00C42907">
        <w:rPr>
          <w:szCs w:val="22"/>
        </w:rPr>
        <w:t xml:space="preserve">% of solid food and 25% of non- milk beverages contain </w:t>
      </w:r>
      <w:r>
        <w:rPr>
          <w:szCs w:val="22"/>
        </w:rPr>
        <w:t>the enzyme</w:t>
      </w:r>
      <w:r w:rsidRPr="00141056">
        <w:rPr>
          <w:szCs w:val="22"/>
        </w:rPr>
        <w:t xml:space="preserve"> </w:t>
      </w:r>
      <w:r>
        <w:rPr>
          <w:szCs w:val="22"/>
        </w:rPr>
        <w:t xml:space="preserve">for </w:t>
      </w:r>
      <w:r>
        <w:t>wide rang</w:t>
      </w:r>
      <w:r w:rsidR="0032771F">
        <w:t>e of food categories for adults</w:t>
      </w:r>
    </w:p>
    <w:p w14:paraId="03B7DB47" w14:textId="77777777" w:rsidR="00F5440F" w:rsidRPr="00F5440F" w:rsidRDefault="00F5440F" w:rsidP="00F5440F">
      <w:pPr>
        <w:rPr>
          <w:lang w:bidi="ar-SA"/>
        </w:rPr>
      </w:pPr>
    </w:p>
    <w:p w14:paraId="6217038A" w14:textId="4719D0CA" w:rsidR="001D3A89" w:rsidRDefault="0032771F" w:rsidP="00F5440F">
      <w:pPr>
        <w:pStyle w:val="FSBullet1"/>
      </w:pPr>
      <w:r>
        <w:t>f</w:t>
      </w:r>
      <w:r w:rsidR="001D3A89">
        <w:t xml:space="preserve">or young children, </w:t>
      </w:r>
      <w:r w:rsidR="00D0343C">
        <w:t xml:space="preserve">100% of </w:t>
      </w:r>
      <w:r w:rsidR="001D3A89" w:rsidRPr="00C42907">
        <w:rPr>
          <w:szCs w:val="22"/>
        </w:rPr>
        <w:t>non- milk beverages contain</w:t>
      </w:r>
      <w:r w:rsidR="001D3A89">
        <w:t xml:space="preserve"> the enzyme</w:t>
      </w:r>
    </w:p>
    <w:p w14:paraId="27EFB59A" w14:textId="77777777" w:rsidR="001D3A89" w:rsidRDefault="001D3A89" w:rsidP="00F5440F">
      <w:pPr>
        <w:pStyle w:val="FSBullet1"/>
        <w:numPr>
          <w:ilvl w:val="0"/>
          <w:numId w:val="0"/>
        </w:numPr>
        <w:ind w:left="567"/>
      </w:pPr>
    </w:p>
    <w:p w14:paraId="3216A113" w14:textId="18146313" w:rsidR="001D3A89" w:rsidRPr="00DA7FBF" w:rsidRDefault="003F4F44" w:rsidP="00F5440F">
      <w:pPr>
        <w:pStyle w:val="FSBullet1"/>
      </w:pPr>
      <w:r>
        <w:t xml:space="preserve">the </w:t>
      </w:r>
      <w:r w:rsidR="0032771F">
        <w:t>m</w:t>
      </w:r>
      <w:r w:rsidR="001D3A89">
        <w:t>aximum level of FOS in so</w:t>
      </w:r>
      <w:r w:rsidR="0032771F">
        <w:t xml:space="preserve">lid foods </w:t>
      </w:r>
      <w:r w:rsidR="0055630D">
        <w:t>and</w:t>
      </w:r>
      <w:r w:rsidR="0032771F">
        <w:t xml:space="preserve"> non-milk beverages </w:t>
      </w:r>
      <w:r>
        <w:t xml:space="preserve">is </w:t>
      </w:r>
      <w:r w:rsidR="001D3A89">
        <w:t>50</w:t>
      </w:r>
      <w:r>
        <w:t>%. For foods intended for young children the maximum use level of FOS is 6%.</w:t>
      </w:r>
      <w:r w:rsidR="002C3837">
        <w:t xml:space="preserve"> T</w:t>
      </w:r>
      <w:r>
        <w:t>he maximum level</w:t>
      </w:r>
      <w:r w:rsidR="006270D1">
        <w:t>s</w:t>
      </w:r>
      <w:r>
        <w:t xml:space="preserve"> of FOS in solid foods and non-milk beverages</w:t>
      </w:r>
      <w:r w:rsidR="006270D1">
        <w:t xml:space="preserve"> </w:t>
      </w:r>
      <w:r w:rsidR="00D0343C">
        <w:t>used in the calculation of the TMDI were</w:t>
      </w:r>
      <w:r>
        <w:t xml:space="preserve"> 50</w:t>
      </w:r>
      <w:r w:rsidR="001D3A89">
        <w:t>0</w:t>
      </w:r>
      <w:r w:rsidR="002C3837">
        <w:t xml:space="preserve"> </w:t>
      </w:r>
      <w:r w:rsidR="001D3A89">
        <w:t>g/kg for adult</w:t>
      </w:r>
      <w:r w:rsidR="0032771F">
        <w:t>s and 6 g/kg for young children</w:t>
      </w:r>
    </w:p>
    <w:p w14:paraId="292E1E5C" w14:textId="77777777" w:rsidR="001D3A89" w:rsidRPr="00DA7FBF" w:rsidRDefault="001D3A89" w:rsidP="00F5440F">
      <w:pPr>
        <w:pStyle w:val="FSBullet1"/>
        <w:numPr>
          <w:ilvl w:val="0"/>
          <w:numId w:val="0"/>
        </w:numPr>
        <w:ind w:left="567"/>
      </w:pPr>
    </w:p>
    <w:p w14:paraId="694F7BB2" w14:textId="70BDB80D" w:rsidR="001D3A89" w:rsidRDefault="001D3A89" w:rsidP="00F5440F">
      <w:pPr>
        <w:pStyle w:val="FSBullet1"/>
        <w:rPr>
          <w:szCs w:val="22"/>
        </w:rPr>
      </w:pPr>
      <w:r w:rsidRPr="006057DD">
        <w:rPr>
          <w:szCs w:val="22"/>
        </w:rPr>
        <w:t xml:space="preserve">the maximum </w:t>
      </w:r>
      <w:r w:rsidR="00245977">
        <w:t>beta</w:t>
      </w:r>
      <w:r w:rsidRPr="006057DD">
        <w:t xml:space="preserve">-fructofuranosidase food enzyme </w:t>
      </w:r>
      <w:r w:rsidRPr="006057DD">
        <w:rPr>
          <w:szCs w:val="22"/>
        </w:rPr>
        <w:t xml:space="preserve">level in FOS ingredient </w:t>
      </w:r>
      <w:r w:rsidR="00BC73EC">
        <w:rPr>
          <w:szCs w:val="22"/>
        </w:rPr>
        <w:t>i</w:t>
      </w:r>
      <w:r w:rsidRPr="006057DD">
        <w:rPr>
          <w:szCs w:val="22"/>
        </w:rPr>
        <w:t>s 27.73 mg TOS/kg for so</w:t>
      </w:r>
      <w:r w:rsidR="0032771F">
        <w:rPr>
          <w:szCs w:val="22"/>
        </w:rPr>
        <w:t>lid foods and non-milk beverage</w:t>
      </w:r>
      <w:r w:rsidR="00D0343C">
        <w:rPr>
          <w:szCs w:val="22"/>
        </w:rPr>
        <w:t>s</w:t>
      </w:r>
    </w:p>
    <w:p w14:paraId="2949586C" w14:textId="77777777" w:rsidR="001D3A89" w:rsidRPr="006057DD" w:rsidRDefault="001D3A89" w:rsidP="00F5440F">
      <w:pPr>
        <w:pStyle w:val="FSBullet1"/>
        <w:numPr>
          <w:ilvl w:val="0"/>
          <w:numId w:val="0"/>
        </w:numPr>
        <w:ind w:left="567"/>
      </w:pPr>
    </w:p>
    <w:p w14:paraId="7DD1EB44" w14:textId="00285067" w:rsidR="001D3A89" w:rsidRPr="006057DD" w:rsidRDefault="001D3A89" w:rsidP="00F5440F">
      <w:pPr>
        <w:pStyle w:val="FSBullet1"/>
        <w:rPr>
          <w:szCs w:val="22"/>
        </w:rPr>
      </w:pPr>
      <w:r w:rsidRPr="006057DD">
        <w:rPr>
          <w:szCs w:val="22"/>
        </w:rPr>
        <w:t>all of the enzyme will remain in the final food, except for distilled beverages due to processing, however other uses in non-milk beverages were still</w:t>
      </w:r>
      <w:r w:rsidR="0032771F">
        <w:rPr>
          <w:szCs w:val="22"/>
        </w:rPr>
        <w:t xml:space="preserve"> assumed to contain the enzyme.</w:t>
      </w:r>
    </w:p>
    <w:p w14:paraId="7CA50DAE" w14:textId="77777777" w:rsidR="001D3A89" w:rsidRDefault="001D3A89" w:rsidP="001D3A89">
      <w:pPr>
        <w:rPr>
          <w:szCs w:val="22"/>
          <w:lang w:val="en-AU"/>
        </w:rPr>
      </w:pPr>
    </w:p>
    <w:p w14:paraId="630ACDE9" w14:textId="2632493A" w:rsidR="001D3A89" w:rsidRPr="00C42907" w:rsidRDefault="001D3A89" w:rsidP="001D3A89">
      <w:pPr>
        <w:rPr>
          <w:szCs w:val="22"/>
          <w:lang w:val="en-AU"/>
        </w:rPr>
      </w:pPr>
      <w:r w:rsidRPr="00C42907">
        <w:rPr>
          <w:szCs w:val="22"/>
          <w:lang w:val="en-AU"/>
        </w:rPr>
        <w:t>Based on these assumptions, t</w:t>
      </w:r>
      <w:r w:rsidRPr="00C42907">
        <w:rPr>
          <w:szCs w:val="22"/>
        </w:rPr>
        <w:t xml:space="preserve">he applicant </w:t>
      </w:r>
      <w:r w:rsidRPr="00C42907">
        <w:rPr>
          <w:szCs w:val="22"/>
          <w:lang w:val="en-AU"/>
        </w:rPr>
        <w:t xml:space="preserve">calculated </w:t>
      </w:r>
      <w:r>
        <w:rPr>
          <w:szCs w:val="22"/>
          <w:lang w:val="en-AU"/>
        </w:rPr>
        <w:t xml:space="preserve">the </w:t>
      </w:r>
      <w:r w:rsidRPr="00C42907">
        <w:rPr>
          <w:szCs w:val="22"/>
          <w:lang w:val="en-AU"/>
        </w:rPr>
        <w:t xml:space="preserve">TMDI of </w:t>
      </w:r>
      <w:r w:rsidR="00245977">
        <w:rPr>
          <w:szCs w:val="20"/>
        </w:rPr>
        <w:t>beta</w:t>
      </w:r>
      <w:r w:rsidRPr="006057DD">
        <w:rPr>
          <w:szCs w:val="20"/>
        </w:rPr>
        <w:t>-fructofuranosidase food enzyme</w:t>
      </w:r>
      <w:r w:rsidRPr="00DC06C8">
        <w:t xml:space="preserve"> </w:t>
      </w:r>
      <w:r w:rsidRPr="00C42907">
        <w:rPr>
          <w:szCs w:val="22"/>
          <w:lang w:val="en-AU"/>
        </w:rPr>
        <w:t xml:space="preserve">to </w:t>
      </w:r>
      <w:r>
        <w:rPr>
          <w:szCs w:val="22"/>
          <w:lang w:val="en-AU"/>
        </w:rPr>
        <w:t>be</w:t>
      </w:r>
      <w:r w:rsidRPr="00C42907">
        <w:rPr>
          <w:szCs w:val="22"/>
          <w:lang w:val="en-AU"/>
        </w:rPr>
        <w:t xml:space="preserve"> 0.</w:t>
      </w:r>
      <w:r>
        <w:rPr>
          <w:szCs w:val="22"/>
          <w:lang w:val="en-AU"/>
        </w:rPr>
        <w:t>52</w:t>
      </w:r>
      <w:r w:rsidRPr="00C42907">
        <w:rPr>
          <w:szCs w:val="22"/>
          <w:lang w:val="en-AU"/>
        </w:rPr>
        <w:t xml:space="preserve"> mg TOS/kg body weight/day</w:t>
      </w:r>
      <w:r>
        <w:rPr>
          <w:szCs w:val="22"/>
          <w:lang w:val="en-AU"/>
        </w:rPr>
        <w:t xml:space="preserve"> for adults and 0.02 </w:t>
      </w:r>
      <w:r w:rsidRPr="00C42907">
        <w:rPr>
          <w:szCs w:val="22"/>
          <w:lang w:val="en-AU"/>
        </w:rPr>
        <w:t>mg TOS/kg body weight/day</w:t>
      </w:r>
      <w:r>
        <w:rPr>
          <w:szCs w:val="22"/>
          <w:lang w:val="en-AU"/>
        </w:rPr>
        <w:t xml:space="preserve"> for young children</w:t>
      </w:r>
      <w:r w:rsidRPr="00C42907">
        <w:rPr>
          <w:szCs w:val="22"/>
          <w:lang w:val="en-AU"/>
        </w:rPr>
        <w:t>.</w:t>
      </w:r>
    </w:p>
    <w:p w14:paraId="308A4DAB" w14:textId="77777777" w:rsidR="001D3A89" w:rsidRPr="00C42907" w:rsidRDefault="001D3A89" w:rsidP="001D3A89">
      <w:pPr>
        <w:rPr>
          <w:szCs w:val="22"/>
          <w:lang w:val="en-AU"/>
        </w:rPr>
      </w:pPr>
    </w:p>
    <w:p w14:paraId="44D273C9" w14:textId="5AA0156A" w:rsidR="001D3A89" w:rsidRDefault="001D3A89" w:rsidP="001D3A89">
      <w:pPr>
        <w:rPr>
          <w:szCs w:val="22"/>
        </w:rPr>
      </w:pPr>
      <w:r w:rsidRPr="00C42907">
        <w:rPr>
          <w:szCs w:val="22"/>
        </w:rPr>
        <w:t xml:space="preserve">As assumptions made by the applicant differ to those that FSANZ would have made in applying the budget method, FSANZ </w:t>
      </w:r>
      <w:r>
        <w:rPr>
          <w:szCs w:val="22"/>
        </w:rPr>
        <w:t>independently calculated the</w:t>
      </w:r>
      <w:r w:rsidRPr="00C42907">
        <w:rPr>
          <w:szCs w:val="22"/>
        </w:rPr>
        <w:t xml:space="preserve"> TDMI </w:t>
      </w:r>
      <w:r>
        <w:rPr>
          <w:szCs w:val="22"/>
        </w:rPr>
        <w:t xml:space="preserve">using the </w:t>
      </w:r>
      <w:r w:rsidRPr="00C42907">
        <w:rPr>
          <w:szCs w:val="22"/>
        </w:rPr>
        <w:t>follow</w:t>
      </w:r>
      <w:r>
        <w:rPr>
          <w:szCs w:val="22"/>
        </w:rPr>
        <w:t xml:space="preserve">ing </w:t>
      </w:r>
      <w:r>
        <w:rPr>
          <w:szCs w:val="22"/>
        </w:rPr>
        <w:lastRenderedPageBreak/>
        <w:t xml:space="preserve">different assumptions that are conservative and </w:t>
      </w:r>
      <w:r w:rsidRPr="00C42907">
        <w:rPr>
          <w:szCs w:val="22"/>
        </w:rPr>
        <w:t>reflective of a first tier in estimating dietary exposure:</w:t>
      </w:r>
    </w:p>
    <w:p w14:paraId="4A627BB1" w14:textId="77777777" w:rsidR="00245977" w:rsidRPr="00C42907" w:rsidRDefault="00245977" w:rsidP="001D3A89">
      <w:pPr>
        <w:rPr>
          <w:szCs w:val="22"/>
        </w:rPr>
      </w:pPr>
    </w:p>
    <w:p w14:paraId="478169A4" w14:textId="3CB1CBB0" w:rsidR="003F4F44" w:rsidRDefault="0055630D" w:rsidP="0055630D">
      <w:pPr>
        <w:pStyle w:val="FSBullet1"/>
      </w:pPr>
      <w:r>
        <w:t>FSANZ used a maximum</w:t>
      </w:r>
      <w:r w:rsidR="006270D1">
        <w:t xml:space="preserve"> use</w:t>
      </w:r>
      <w:r>
        <w:t xml:space="preserve"> level of FOS in solid foods and non-milk </w:t>
      </w:r>
      <w:r w:rsidR="00C0447B">
        <w:t xml:space="preserve">beverages of 500 g/kg </w:t>
      </w:r>
      <w:r w:rsidR="003F4F44">
        <w:t xml:space="preserve">for adults </w:t>
      </w:r>
      <w:r>
        <w:t xml:space="preserve">and 60 g/kg for </w:t>
      </w:r>
      <w:r w:rsidR="003F4F44">
        <w:t>children. T</w:t>
      </w:r>
      <w:r>
        <w:t>hese are equivalent to</w:t>
      </w:r>
      <w:r w:rsidR="003F4F44">
        <w:t xml:space="preserve"> the assumption provided by the applicant that any food or beverage may contain a maximum </w:t>
      </w:r>
      <w:r w:rsidR="006270D1">
        <w:t xml:space="preserve">use level </w:t>
      </w:r>
      <w:r w:rsidR="003F4F44">
        <w:t>of 50% FOS,</w:t>
      </w:r>
      <w:r>
        <w:t xml:space="preserve"> and </w:t>
      </w:r>
      <w:r w:rsidR="003F4F44">
        <w:t>foods intended for young children may contain a m</w:t>
      </w:r>
      <w:r w:rsidR="00D0343C">
        <w:t>a</w:t>
      </w:r>
      <w:r w:rsidR="003F4F44">
        <w:t>ximum</w:t>
      </w:r>
      <w:r w:rsidR="006270D1">
        <w:t xml:space="preserve"> use level</w:t>
      </w:r>
      <w:r w:rsidR="003F4F44">
        <w:t xml:space="preserve"> of 6% FOS.</w:t>
      </w:r>
    </w:p>
    <w:p w14:paraId="17C908CD" w14:textId="5CEB3C9E" w:rsidR="0055630D" w:rsidRPr="003F4F44" w:rsidRDefault="003F4F44" w:rsidP="003F4F44">
      <w:pPr>
        <w:pStyle w:val="FSBullet1"/>
        <w:numPr>
          <w:ilvl w:val="0"/>
          <w:numId w:val="0"/>
        </w:numPr>
        <w:ind w:left="502"/>
      </w:pPr>
      <w:r>
        <w:t xml:space="preserve"> </w:t>
      </w:r>
    </w:p>
    <w:p w14:paraId="0E80FAD3" w14:textId="44A30A09" w:rsidR="001D3A89" w:rsidRDefault="001D3A89" w:rsidP="001D3A89">
      <w:pPr>
        <w:pStyle w:val="FSBullet1"/>
      </w:pPr>
      <w:r w:rsidRPr="00141056">
        <w:rPr>
          <w:szCs w:val="22"/>
        </w:rPr>
        <w:t>FSANZ would generally assume 12.5% of solid foods contain the enzyme based on commonly used default proportions noted in the FAO/WHO Environmental</w:t>
      </w:r>
      <w:r>
        <w:t xml:space="preserve"> Health Criteria (</w:t>
      </w:r>
      <w:r w:rsidRPr="00E96F52">
        <w:t>EHC</w:t>
      </w:r>
      <w:r>
        <w:t>)</w:t>
      </w:r>
      <w:r w:rsidRPr="00E96F52">
        <w:t xml:space="preserve"> 240</w:t>
      </w:r>
      <w:r>
        <w:t xml:space="preserve"> Chapter 6 on dietary exposure assessment (FAO/WHO 2009). However the applicant has assumed a higher proportion of 25% based on the nature and extent of use of the enzyme and therefore FSANZ has also used this proportion </w:t>
      </w:r>
      <w:r w:rsidR="00D0343C">
        <w:t xml:space="preserve">for solid foods </w:t>
      </w:r>
      <w:r>
        <w:t>as a worst case scenario.</w:t>
      </w:r>
    </w:p>
    <w:p w14:paraId="05231CA4" w14:textId="77777777" w:rsidR="001D3A89" w:rsidRPr="00141056" w:rsidRDefault="001D3A89" w:rsidP="001D3A89">
      <w:pPr>
        <w:rPr>
          <w:lang w:bidi="ar-SA"/>
        </w:rPr>
      </w:pPr>
    </w:p>
    <w:p w14:paraId="2F0E6498" w14:textId="0E03EB87" w:rsidR="001D3A89" w:rsidRDefault="001D3A89" w:rsidP="001D3A89">
      <w:pPr>
        <w:pStyle w:val="FSBullet2"/>
        <w:numPr>
          <w:ilvl w:val="0"/>
          <w:numId w:val="0"/>
        </w:numPr>
      </w:pPr>
      <w:r>
        <w:t xml:space="preserve">All other inputs and assumptions used by FSANZ remained as per those used by the applicant. </w:t>
      </w:r>
      <w:r w:rsidRPr="003032C1">
        <w:t>The TDMI based on FSANZ’s calculations</w:t>
      </w:r>
      <w:r>
        <w:t xml:space="preserve"> for solid food and non-milk beverages we</w:t>
      </w:r>
      <w:r w:rsidRPr="003032C1">
        <w:t xml:space="preserve">re </w:t>
      </w:r>
      <w:r>
        <w:t>0.17</w:t>
      </w:r>
      <w:r w:rsidR="00F56A12">
        <w:t xml:space="preserve"> </w:t>
      </w:r>
      <w:r w:rsidRPr="003032C1">
        <w:t xml:space="preserve">mg TOS/kg body weight/day and </w:t>
      </w:r>
      <w:r>
        <w:t>0.35</w:t>
      </w:r>
      <w:r w:rsidRPr="003032C1">
        <w:t xml:space="preserve"> mg TOS/kg body weight/day respectively</w:t>
      </w:r>
      <w:r>
        <w:t>, a total of 0.52 mg TOS/kg bw/day for adults</w:t>
      </w:r>
      <w:r w:rsidRPr="003032C1">
        <w:t xml:space="preserve">. </w:t>
      </w:r>
      <w:r>
        <w:t>While 0.02</w:t>
      </w:r>
      <w:r w:rsidR="00F56A12">
        <w:t xml:space="preserve"> </w:t>
      </w:r>
      <w:r w:rsidRPr="003032C1">
        <w:t xml:space="preserve">mg TOS/kg body weight/day </w:t>
      </w:r>
      <w:r>
        <w:t xml:space="preserve">of solid foods </w:t>
      </w:r>
      <w:r w:rsidRPr="003032C1">
        <w:t xml:space="preserve">and </w:t>
      </w:r>
      <w:r>
        <w:t>0.</w:t>
      </w:r>
      <w:r w:rsidR="00D46E99">
        <w:t>17</w:t>
      </w:r>
      <w:r w:rsidRPr="003032C1">
        <w:t xml:space="preserve"> mg TOS/kg body weight/day </w:t>
      </w:r>
      <w:r>
        <w:t>of non-milk beverages were estimated for young children with a total of 0.</w:t>
      </w:r>
      <w:r w:rsidR="00D46E99">
        <w:t>19</w:t>
      </w:r>
      <w:r>
        <w:t xml:space="preserve"> mg TOS/kg bw/day.</w:t>
      </w:r>
    </w:p>
    <w:p w14:paraId="5635EAB7" w14:textId="77777777" w:rsidR="001D3A89" w:rsidRDefault="001D3A89" w:rsidP="001D3A89">
      <w:pPr>
        <w:pStyle w:val="FSBullet2"/>
        <w:numPr>
          <w:ilvl w:val="0"/>
          <w:numId w:val="0"/>
        </w:numPr>
      </w:pPr>
    </w:p>
    <w:p w14:paraId="6D7A63F7" w14:textId="235576A7" w:rsidR="001D3A89" w:rsidRDefault="001D3A89" w:rsidP="001D3A89">
      <w:pPr>
        <w:pStyle w:val="FSBullet2"/>
        <w:numPr>
          <w:ilvl w:val="0"/>
          <w:numId w:val="0"/>
        </w:numPr>
      </w:pPr>
      <w:r>
        <w:t>Both the FSANZ and applicant</w:t>
      </w:r>
      <w:r w:rsidR="00BC73EC">
        <w:t>’</w:t>
      </w:r>
      <w:r>
        <w:t>s estimates of the TMDI will be overestimates of</w:t>
      </w:r>
      <w:r w:rsidRPr="003032C1">
        <w:t xml:space="preserve"> the dietary exposure given the conservatisms in the budget method</w:t>
      </w:r>
      <w:r>
        <w:t>. This</w:t>
      </w:r>
      <w:r w:rsidRPr="003032C1">
        <w:t xml:space="preserve"> </w:t>
      </w:r>
      <w:r w:rsidRPr="00E96F52">
        <w:t>includ</w:t>
      </w:r>
      <w:r>
        <w:t>es</w:t>
      </w:r>
      <w:r w:rsidRPr="00E96F52">
        <w:t xml:space="preserve"> that it was assumed that the enzyme remains in the final foods and beverages whereas the applicant has stated that it is likely to either be removed during processing or</w:t>
      </w:r>
      <w:r>
        <w:t xml:space="preserve"> would be present in insignificant quantities, and would be inactivated and perform no function in the final food </w:t>
      </w:r>
      <w:r w:rsidRPr="0036562F">
        <w:t>to which the ingredient is added</w:t>
      </w:r>
      <w:r>
        <w:t>.</w:t>
      </w:r>
    </w:p>
    <w:p w14:paraId="483FF6AB" w14:textId="77777777" w:rsidR="000C5F44" w:rsidRPr="00EC273B" w:rsidRDefault="000C5F44" w:rsidP="00F174E4">
      <w:pPr>
        <w:rPr>
          <w:lang w:val="en-AU"/>
        </w:rPr>
      </w:pPr>
    </w:p>
    <w:p w14:paraId="73275295" w14:textId="53AEBA36" w:rsidR="00F174E4" w:rsidRPr="00EC273B" w:rsidRDefault="00F174E4" w:rsidP="00F174E4">
      <w:pPr>
        <w:pStyle w:val="Heading1"/>
        <w:ind w:left="567" w:hanging="567"/>
        <w:rPr>
          <w:lang w:val="en-AU"/>
        </w:rPr>
      </w:pPr>
      <w:bookmarkStart w:id="65" w:name="_Toc53473530"/>
      <w:bookmarkStart w:id="66" w:name="_Toc85467282"/>
      <w:r w:rsidRPr="00EC273B">
        <w:rPr>
          <w:lang w:val="en-AU"/>
        </w:rPr>
        <w:t>4</w:t>
      </w:r>
      <w:r w:rsidRPr="00EC273B">
        <w:rPr>
          <w:lang w:val="en-AU"/>
        </w:rPr>
        <w:tab/>
        <w:t>Discussion</w:t>
      </w:r>
      <w:bookmarkEnd w:id="65"/>
      <w:bookmarkEnd w:id="66"/>
    </w:p>
    <w:p w14:paraId="135552D3" w14:textId="3E87045C" w:rsidR="007E5A1D" w:rsidRPr="00860D71" w:rsidRDefault="007E5A1D" w:rsidP="007E5A1D">
      <w:r>
        <w:t xml:space="preserve">No public health and safety concerns were identified in the assessment of </w:t>
      </w:r>
      <w:r w:rsidR="00860D71">
        <w:t>b</w:t>
      </w:r>
      <w:r w:rsidRPr="009630DC">
        <w:rPr>
          <w:lang w:val="en-AU"/>
        </w:rPr>
        <w:t>eta</w:t>
      </w:r>
      <w:r w:rsidRPr="00EC273B">
        <w:rPr>
          <w:lang w:val="en-AU"/>
        </w:rPr>
        <w:t>-</w:t>
      </w:r>
      <w:r w:rsidRPr="00860D71">
        <w:rPr>
          <w:lang w:val="en-AU"/>
        </w:rPr>
        <w:t xml:space="preserve">fructofuranosidase from </w:t>
      </w:r>
      <w:r w:rsidRPr="00860D71">
        <w:rPr>
          <w:i/>
          <w:lang w:val="en-AU"/>
        </w:rPr>
        <w:t>A. fijiensis</w:t>
      </w:r>
      <w:r w:rsidRPr="00860D71">
        <w:rPr>
          <w:lang w:val="en-AU"/>
        </w:rPr>
        <w:t xml:space="preserve"> (ATCC 20611) </w:t>
      </w:r>
      <w:r w:rsidRPr="00860D71">
        <w:t>under the proposed use conditions</w:t>
      </w:r>
      <w:r w:rsidR="00324345">
        <w:t>, for the manufacture of all foods using any technological purpose.</w:t>
      </w:r>
    </w:p>
    <w:p w14:paraId="4B5715FC" w14:textId="77777777" w:rsidR="007E5A1D" w:rsidRPr="00860D71" w:rsidRDefault="007E5A1D" w:rsidP="007E5A1D"/>
    <w:p w14:paraId="780C6135" w14:textId="79FE0B2C" w:rsidR="001B2121" w:rsidRPr="001B2121" w:rsidRDefault="007E5A1D" w:rsidP="001B2121">
      <w:pPr>
        <w:rPr>
          <w:rFonts w:cstheme="minorBidi"/>
          <w:color w:val="000000" w:themeColor="text1"/>
          <w:szCs w:val="22"/>
        </w:rPr>
      </w:pPr>
      <w:r w:rsidRPr="00860D71">
        <w:t xml:space="preserve">The </w:t>
      </w:r>
      <w:r w:rsidR="00860D71">
        <w:rPr>
          <w:lang w:val="en-AU"/>
        </w:rPr>
        <w:t>b</w:t>
      </w:r>
      <w:r w:rsidR="00860D71" w:rsidRPr="00860D71">
        <w:rPr>
          <w:lang w:val="en-AU"/>
        </w:rPr>
        <w:t>eta-fructofuranosidase</w:t>
      </w:r>
      <w:r w:rsidRPr="00860D71">
        <w:t xml:space="preserve"> that is the subject of this application has a history of safe use in</w:t>
      </w:r>
      <w:r w:rsidR="00860D71" w:rsidRPr="00860D71">
        <w:t xml:space="preserve"> Australia and</w:t>
      </w:r>
      <w:r w:rsidRPr="00860D71">
        <w:t xml:space="preserve"> other countries. </w:t>
      </w:r>
      <w:r w:rsidR="001B2121" w:rsidRPr="005D5CDF">
        <w:rPr>
          <w:rFonts w:cs="Arial"/>
          <w:color w:val="000000" w:themeColor="text1"/>
          <w:szCs w:val="22"/>
          <w:shd w:val="clear" w:color="auto" w:fill="FFFFFF"/>
        </w:rPr>
        <w:t>The</w:t>
      </w:r>
      <w:r w:rsidR="001B2121">
        <w:rPr>
          <w:rFonts w:cs="Arial"/>
          <w:color w:val="000000" w:themeColor="text1"/>
          <w:szCs w:val="22"/>
          <w:shd w:val="clear" w:color="auto" w:fill="FFFFFF"/>
        </w:rPr>
        <w:t xml:space="preserve"> </w:t>
      </w:r>
      <w:r w:rsidR="00F231FB">
        <w:rPr>
          <w:rFonts w:cs="Arial"/>
          <w:color w:val="000000" w:themeColor="text1"/>
          <w:szCs w:val="22"/>
          <w:shd w:val="clear" w:color="auto" w:fill="FFFFFF"/>
        </w:rPr>
        <w:t xml:space="preserve">source </w:t>
      </w:r>
      <w:r w:rsidR="001B2121">
        <w:rPr>
          <w:rFonts w:cs="Arial"/>
          <w:color w:val="000000" w:themeColor="text1"/>
          <w:szCs w:val="22"/>
          <w:shd w:val="clear" w:color="auto" w:fill="FFFFFF"/>
        </w:rPr>
        <w:t xml:space="preserve">species </w:t>
      </w:r>
      <w:r w:rsidR="001B2121" w:rsidRPr="008061C0">
        <w:rPr>
          <w:rFonts w:cs="Arial"/>
          <w:i/>
          <w:iCs/>
          <w:color w:val="000000" w:themeColor="text1"/>
          <w:szCs w:val="22"/>
        </w:rPr>
        <w:t>A. brunneoviolaceus</w:t>
      </w:r>
      <w:r w:rsidR="001B2121">
        <w:rPr>
          <w:rFonts w:cs="Arial"/>
          <w:iCs/>
          <w:color w:val="000000" w:themeColor="text1"/>
          <w:szCs w:val="22"/>
        </w:rPr>
        <w:t xml:space="preserve"> and </w:t>
      </w:r>
      <w:r w:rsidR="001B2121" w:rsidRPr="008061C0">
        <w:rPr>
          <w:i/>
          <w:color w:val="000000" w:themeColor="text1"/>
          <w:szCs w:val="22"/>
        </w:rPr>
        <w:t>A. fijiensis</w:t>
      </w:r>
      <w:r w:rsidR="001B2121">
        <w:rPr>
          <w:color w:val="000000" w:themeColor="text1"/>
          <w:szCs w:val="22"/>
        </w:rPr>
        <w:t xml:space="preserve"> </w:t>
      </w:r>
      <w:r w:rsidR="001B2121">
        <w:t xml:space="preserve">have not previously been approved for enzyme production and inclusion in the Code. </w:t>
      </w:r>
      <w:r w:rsidR="001B2121" w:rsidRPr="003407EF">
        <w:t>They have a limited history</w:t>
      </w:r>
      <w:r w:rsidR="001B2121">
        <w:t xml:space="preserve"> of use in commercial enzyme production although the available data </w:t>
      </w:r>
      <w:r w:rsidR="001B2121" w:rsidRPr="008C672F">
        <w:rPr>
          <w:rFonts w:cs="Arial"/>
          <w:iCs/>
          <w:color w:val="000000" w:themeColor="text1"/>
          <w:szCs w:val="22"/>
        </w:rPr>
        <w:t>suggests</w:t>
      </w:r>
      <w:r w:rsidR="001B2121">
        <w:rPr>
          <w:rFonts w:cs="Arial"/>
          <w:iCs/>
          <w:color w:val="000000" w:themeColor="text1"/>
          <w:szCs w:val="22"/>
        </w:rPr>
        <w:t xml:space="preserve"> these species present a low</w:t>
      </w:r>
      <w:r w:rsidR="001B2121" w:rsidRPr="008C672F">
        <w:rPr>
          <w:rFonts w:cs="Arial"/>
          <w:iCs/>
          <w:color w:val="000000" w:themeColor="text1"/>
          <w:szCs w:val="22"/>
        </w:rPr>
        <w:t xml:space="preserve"> risk</w:t>
      </w:r>
      <w:r w:rsidR="001B2121">
        <w:t xml:space="preserve">. It is recommended that the source organism be designated at the strain level rather than the species level. The strain </w:t>
      </w:r>
      <w:r w:rsidR="001B2121" w:rsidRPr="008061C0">
        <w:rPr>
          <w:rFonts w:cs="Arial"/>
          <w:i/>
          <w:iCs/>
          <w:color w:val="000000" w:themeColor="text1"/>
          <w:szCs w:val="22"/>
        </w:rPr>
        <w:t>A</w:t>
      </w:r>
      <w:r w:rsidR="001B2121">
        <w:rPr>
          <w:rFonts w:cs="Arial"/>
          <w:i/>
          <w:iCs/>
          <w:color w:val="000000" w:themeColor="text1"/>
          <w:szCs w:val="22"/>
        </w:rPr>
        <w:t>.</w:t>
      </w:r>
      <w:r w:rsidR="001B2121" w:rsidRPr="008061C0">
        <w:rPr>
          <w:rFonts w:cs="Arial"/>
          <w:i/>
          <w:iCs/>
          <w:color w:val="000000" w:themeColor="text1"/>
          <w:szCs w:val="22"/>
        </w:rPr>
        <w:t xml:space="preserve"> fijiensis</w:t>
      </w:r>
      <w:r w:rsidR="001B2121" w:rsidRPr="008061C0">
        <w:rPr>
          <w:rFonts w:cs="Arial"/>
          <w:color w:val="000000" w:themeColor="text1"/>
          <w:szCs w:val="22"/>
        </w:rPr>
        <w:t xml:space="preserve"> </w:t>
      </w:r>
      <w:r w:rsidR="000B0405">
        <w:rPr>
          <w:rFonts w:cs="Arial"/>
          <w:color w:val="000000" w:themeColor="text1"/>
          <w:szCs w:val="22"/>
        </w:rPr>
        <w:t>(</w:t>
      </w:r>
      <w:r w:rsidR="001B2121" w:rsidRPr="008061C0">
        <w:rPr>
          <w:rFonts w:cs="Arial"/>
          <w:color w:val="000000" w:themeColor="text1"/>
          <w:szCs w:val="22"/>
        </w:rPr>
        <w:t>ATCC</w:t>
      </w:r>
      <w:r w:rsidR="000B0405">
        <w:rPr>
          <w:rFonts w:cs="Arial"/>
          <w:color w:val="000000" w:themeColor="text1"/>
          <w:szCs w:val="22"/>
        </w:rPr>
        <w:t xml:space="preserve"> 20611)</w:t>
      </w:r>
      <w:r w:rsidR="001B2121" w:rsidRPr="008061C0">
        <w:rPr>
          <w:rFonts w:cs="Arial"/>
          <w:color w:val="000000" w:themeColor="text1"/>
          <w:szCs w:val="22"/>
          <w:vertAlign w:val="superscript"/>
        </w:rPr>
        <w:t xml:space="preserve"> </w:t>
      </w:r>
      <w:r w:rsidR="001B2121" w:rsidRPr="0041182E">
        <w:rPr>
          <w:lang w:bidi="ar-SA"/>
        </w:rPr>
        <w:t>is n</w:t>
      </w:r>
      <w:r w:rsidR="001B2121">
        <w:rPr>
          <w:lang w:bidi="ar-SA"/>
        </w:rPr>
        <w:t>either toxigenic nor pathogenic.</w:t>
      </w:r>
    </w:p>
    <w:p w14:paraId="5F89E273" w14:textId="77777777" w:rsidR="001B2121" w:rsidRPr="00A05E61" w:rsidRDefault="001B2121" w:rsidP="00247CE4">
      <w:pPr>
        <w:rPr>
          <w:rFonts w:cstheme="minorBidi"/>
          <w:color w:val="000000" w:themeColor="text1"/>
          <w:szCs w:val="22"/>
        </w:rPr>
      </w:pPr>
    </w:p>
    <w:p w14:paraId="65CC675C" w14:textId="42A1C1A0" w:rsidR="007E5A1D" w:rsidRDefault="00D4133A" w:rsidP="007E5A1D">
      <w:r w:rsidRPr="00D4133A">
        <w:t xml:space="preserve">Beta-fructofuranosidase from </w:t>
      </w:r>
      <w:r w:rsidRPr="00324345">
        <w:rPr>
          <w:i/>
        </w:rPr>
        <w:t>A. fijiensis</w:t>
      </w:r>
      <w:r w:rsidRPr="00D4133A">
        <w:t xml:space="preserve"> was not genotoxic </w:t>
      </w:r>
      <w:r w:rsidRPr="00C42CDD">
        <w:rPr>
          <w:i/>
        </w:rPr>
        <w:t>in vitro</w:t>
      </w:r>
      <w:r w:rsidR="007E5A1D" w:rsidRPr="00860D71">
        <w:t>. The NOAEL in a 90-day oral gavage study in ra</w:t>
      </w:r>
      <w:r w:rsidR="00C42CDD">
        <w:t>ts was the highest dose tested,</w:t>
      </w:r>
      <w:r w:rsidR="00860D71">
        <w:rPr>
          <w:lang w:val="en-AU" w:eastAsia="en-AU" w:bidi="ar-SA"/>
        </w:rPr>
        <w:t xml:space="preserve"> 1000 mg/kg bw/day, equivalent of</w:t>
      </w:r>
      <w:r w:rsidR="00860D71" w:rsidRPr="00627E32">
        <w:rPr>
          <w:lang w:val="en-AU" w:eastAsia="en-AU" w:bidi="ar-SA"/>
        </w:rPr>
        <w:t xml:space="preserve"> 108 mg/kg bw/day of </w:t>
      </w:r>
      <w:r w:rsidR="00860D71">
        <w:rPr>
          <w:lang w:val="en-AU" w:eastAsia="en-AU" w:bidi="ar-SA"/>
        </w:rPr>
        <w:t xml:space="preserve">protein or </w:t>
      </w:r>
      <w:r w:rsidR="00860D71" w:rsidRPr="00627E32">
        <w:rPr>
          <w:lang w:val="en-AU" w:eastAsia="en-AU" w:bidi="ar-SA"/>
        </w:rPr>
        <w:t>920</w:t>
      </w:r>
      <w:r w:rsidR="00860D71">
        <w:rPr>
          <w:lang w:val="en-AU" w:eastAsia="en-AU" w:bidi="ar-SA"/>
        </w:rPr>
        <w:t xml:space="preserve"> mg</w:t>
      </w:r>
      <w:r w:rsidR="00860D71" w:rsidRPr="00627E32">
        <w:rPr>
          <w:lang w:val="en-AU" w:eastAsia="en-AU" w:bidi="ar-SA"/>
        </w:rPr>
        <w:t>/kg bw/day</w:t>
      </w:r>
      <w:r w:rsidR="00860D71">
        <w:rPr>
          <w:lang w:val="en-AU" w:eastAsia="en-AU" w:bidi="ar-SA"/>
        </w:rPr>
        <w:t xml:space="preserve"> TOS</w:t>
      </w:r>
      <w:r w:rsidR="007E5A1D">
        <w:t>. The TMDI</w:t>
      </w:r>
      <w:r w:rsidR="00860D71">
        <w:t xml:space="preserve"> was calculated </w:t>
      </w:r>
      <w:r w:rsidR="00D76C84">
        <w:t>as</w:t>
      </w:r>
      <w:r w:rsidR="00860D71">
        <w:t xml:space="preserve"> 0.52</w:t>
      </w:r>
      <w:r w:rsidR="00D76C84">
        <w:t> </w:t>
      </w:r>
      <w:r w:rsidR="00860D71">
        <w:t>mg/kg bw/day TOS for adults and 0.</w:t>
      </w:r>
      <w:r w:rsidR="0055630D">
        <w:t>19</w:t>
      </w:r>
      <w:r w:rsidR="00860D71">
        <w:t xml:space="preserve"> mg</w:t>
      </w:r>
      <w:r w:rsidR="00860D71" w:rsidRPr="00860D71">
        <w:t>/kg bw/day</w:t>
      </w:r>
      <w:r w:rsidR="00860D71">
        <w:t xml:space="preserve"> </w:t>
      </w:r>
      <w:r w:rsidR="000F47B9">
        <w:t xml:space="preserve">TOS </w:t>
      </w:r>
      <w:r w:rsidR="00860D71">
        <w:t>for children</w:t>
      </w:r>
      <w:r w:rsidR="007E5A1D">
        <w:t xml:space="preserve">. Comparison of the NOAEL and the </w:t>
      </w:r>
      <w:r w:rsidR="00860D71">
        <w:t xml:space="preserve">calculated </w:t>
      </w:r>
      <w:r w:rsidR="007E5A1D">
        <w:t>TMDI</w:t>
      </w:r>
      <w:r w:rsidR="00860D71">
        <w:t>s</w:t>
      </w:r>
      <w:r w:rsidR="007E5A1D">
        <w:t xml:space="preserve"> gives a Margin of Exposure (MOE) of </w:t>
      </w:r>
      <w:r w:rsidR="000F47B9">
        <w:t>more than 1,7</w:t>
      </w:r>
      <w:r w:rsidR="007E5A1D">
        <w:t>00</w:t>
      </w:r>
      <w:r w:rsidR="00860D71">
        <w:t xml:space="preserve"> for adults and 4,</w:t>
      </w:r>
      <w:r w:rsidR="0055630D">
        <w:t>9</w:t>
      </w:r>
      <w:r w:rsidR="00860D71">
        <w:t>00 for children</w:t>
      </w:r>
      <w:r w:rsidR="007E5A1D">
        <w:t>.</w:t>
      </w:r>
    </w:p>
    <w:p w14:paraId="6DA6112E" w14:textId="77777777" w:rsidR="007E5A1D" w:rsidRDefault="007E5A1D" w:rsidP="00503EA7">
      <w:pPr>
        <w:jc w:val="center"/>
      </w:pPr>
    </w:p>
    <w:p w14:paraId="75D2C0F9" w14:textId="572C130F" w:rsidR="007E5A1D" w:rsidRDefault="007E5A1D" w:rsidP="007E5A1D">
      <w:r w:rsidRPr="000929E0">
        <w:t xml:space="preserve">A </w:t>
      </w:r>
      <w:r w:rsidR="000929E0">
        <w:t xml:space="preserve">low </w:t>
      </w:r>
      <w:r w:rsidRPr="000929E0">
        <w:t>degree of homology</w:t>
      </w:r>
      <w:r w:rsidR="000929E0">
        <w:t xml:space="preserve"> was found</w:t>
      </w:r>
      <w:r w:rsidRPr="000929E0">
        <w:t xml:space="preserve"> between the</w:t>
      </w:r>
      <w:r w:rsidR="00503EA7" w:rsidRPr="000929E0">
        <w:t xml:space="preserve"> </w:t>
      </w:r>
      <w:r w:rsidR="00503EA7" w:rsidRPr="000929E0">
        <w:rPr>
          <w:lang w:val="en-AU"/>
        </w:rPr>
        <w:t xml:space="preserve">beta-fructofuranosidase </w:t>
      </w:r>
      <w:r w:rsidR="00F6533F">
        <w:rPr>
          <w:lang w:val="en-AU"/>
        </w:rPr>
        <w:t xml:space="preserve">sequence </w:t>
      </w:r>
      <w:r w:rsidRPr="000929E0">
        <w:t>and</w:t>
      </w:r>
      <w:r w:rsidR="000929E0">
        <w:t xml:space="preserve"> </w:t>
      </w:r>
      <w:r w:rsidR="000929E0" w:rsidRPr="00660EF7">
        <w:rPr>
          <w:lang w:val="en-AU" w:eastAsia="en-AU"/>
        </w:rPr>
        <w:t xml:space="preserve">peanut agglutinin precursor from </w:t>
      </w:r>
      <w:r w:rsidR="000929E0" w:rsidRPr="00660EF7">
        <w:rPr>
          <w:i/>
          <w:lang w:val="en-AU" w:eastAsia="en-AU"/>
        </w:rPr>
        <w:t>Arachis hypogaea</w:t>
      </w:r>
      <w:r w:rsidRPr="000929E0">
        <w:t xml:space="preserve">. </w:t>
      </w:r>
      <w:r w:rsidR="00AD00B1">
        <w:t xml:space="preserve">Given the low degree of homology, the </w:t>
      </w:r>
      <w:r w:rsidR="00AD00B1">
        <w:lastRenderedPageBreak/>
        <w:t>low levels likely to be found in foods</w:t>
      </w:r>
      <w:r w:rsidR="00D4133A">
        <w:t>,</w:t>
      </w:r>
      <w:r w:rsidR="00AD00B1">
        <w:t xml:space="preserve"> and the absence of case reports of food allergy to </w:t>
      </w:r>
      <w:r w:rsidR="00AD00B1" w:rsidRPr="00AD00B1">
        <w:t>beta-fructofuranosidase</w:t>
      </w:r>
      <w:r w:rsidR="00587548">
        <w:t>,</w:t>
      </w:r>
      <w:r w:rsidR="00D4133A">
        <w:t xml:space="preserve"> the risk of </w:t>
      </w:r>
      <w:r w:rsidR="00D4133A" w:rsidRPr="00D4133A">
        <w:t>food allergy from the proposed uses of the enzyme is likely to be low.</w:t>
      </w:r>
      <w:r w:rsidR="00AD00B1">
        <w:t xml:space="preserve"> </w:t>
      </w:r>
    </w:p>
    <w:p w14:paraId="22C4E04B" w14:textId="0469A33A" w:rsidR="00776351" w:rsidRDefault="00D03077" w:rsidP="00776351">
      <w:pPr>
        <w:pStyle w:val="Heading1"/>
        <w:ind w:left="567" w:hanging="567"/>
        <w:rPr>
          <w:lang w:val="en-AU"/>
        </w:rPr>
      </w:pPr>
      <w:bookmarkStart w:id="67" w:name="_Toc53473531"/>
      <w:bookmarkStart w:id="68" w:name="_Toc85467283"/>
      <w:r w:rsidRPr="00EC273B">
        <w:rPr>
          <w:lang w:val="en-AU"/>
        </w:rPr>
        <w:t xml:space="preserve">5 </w:t>
      </w:r>
      <w:r w:rsidRPr="00EC273B">
        <w:rPr>
          <w:lang w:val="en-AU"/>
        </w:rPr>
        <w:tab/>
        <w:t>Conclusions</w:t>
      </w:r>
      <w:bookmarkStart w:id="69" w:name="_Toc53473532"/>
      <w:bookmarkEnd w:id="67"/>
      <w:bookmarkEnd w:id="68"/>
    </w:p>
    <w:p w14:paraId="133361E2" w14:textId="77777777" w:rsidR="00776351" w:rsidRPr="00125EA6" w:rsidRDefault="00776351" w:rsidP="00776351">
      <w:r>
        <w:t xml:space="preserve">Based on the reviewed data it is concluded that in </w:t>
      </w:r>
      <w:r w:rsidRPr="00125EA6">
        <w:t>the absence of any identifiable hazard an</w:t>
      </w:r>
    </w:p>
    <w:p w14:paraId="353EE67B" w14:textId="77777777" w:rsidR="00776351" w:rsidRPr="00125EA6" w:rsidRDefault="00776351" w:rsidP="00776351">
      <w:pPr>
        <w:rPr>
          <w:sz w:val="28"/>
          <w:u w:val="single"/>
          <w:lang w:val="en-AU"/>
        </w:rPr>
      </w:pPr>
      <w:r w:rsidRPr="00125EA6">
        <w:t>Acceptable Daily Intake (ADI) ‘not specified’ is appropriate.</w:t>
      </w:r>
    </w:p>
    <w:p w14:paraId="7874BB47" w14:textId="56875481" w:rsidR="00B27803" w:rsidRPr="00B27803" w:rsidRDefault="00D03077" w:rsidP="00B27803">
      <w:pPr>
        <w:pStyle w:val="Heading1"/>
        <w:ind w:left="567" w:hanging="567"/>
        <w:rPr>
          <w:lang w:val="en-AU"/>
        </w:rPr>
      </w:pPr>
      <w:bookmarkStart w:id="70" w:name="_Toc85467284"/>
      <w:r w:rsidRPr="00125EA6">
        <w:rPr>
          <w:lang w:val="en-AU"/>
        </w:rPr>
        <w:t xml:space="preserve">6 </w:t>
      </w:r>
      <w:r w:rsidRPr="00125EA6">
        <w:rPr>
          <w:lang w:val="en-AU"/>
        </w:rPr>
        <w:tab/>
        <w:t>References</w:t>
      </w:r>
      <w:bookmarkEnd w:id="69"/>
      <w:bookmarkEnd w:id="70"/>
    </w:p>
    <w:p w14:paraId="314197F1" w14:textId="5C838466" w:rsidR="00B27803" w:rsidRPr="008061C0" w:rsidRDefault="00B27803" w:rsidP="00B27803">
      <w:pPr>
        <w:rPr>
          <w:rFonts w:cs="Arial"/>
          <w:color w:val="000000" w:themeColor="text1"/>
          <w:szCs w:val="22"/>
          <w:shd w:val="clear" w:color="auto" w:fill="FFFFFF"/>
        </w:rPr>
      </w:pPr>
      <w:r w:rsidRPr="008061C0">
        <w:rPr>
          <w:rFonts w:cs="Arial"/>
          <w:color w:val="000000" w:themeColor="text1"/>
          <w:szCs w:val="22"/>
          <w:shd w:val="clear" w:color="auto" w:fill="FFFFFF"/>
        </w:rPr>
        <w:t>Batista AC, Maia HdS. 1955. </w:t>
      </w:r>
      <w:r w:rsidRPr="008061C0">
        <w:rPr>
          <w:rStyle w:val="ref-title"/>
          <w:rFonts w:cs="Arial"/>
          <w:color w:val="000000" w:themeColor="text1"/>
          <w:szCs w:val="22"/>
          <w:shd w:val="clear" w:color="auto" w:fill="FFFFFF"/>
        </w:rPr>
        <w:t>Alguns Aspergillales de contaminação</w:t>
      </w:r>
      <w:r w:rsidRPr="008061C0">
        <w:rPr>
          <w:rFonts w:cs="Arial"/>
          <w:color w:val="000000" w:themeColor="text1"/>
          <w:szCs w:val="22"/>
          <w:shd w:val="clear" w:color="auto" w:fill="FFFFFF"/>
        </w:rPr>
        <w:t>. </w:t>
      </w:r>
      <w:r w:rsidRPr="008061C0">
        <w:rPr>
          <w:rStyle w:val="ref-journal"/>
          <w:rFonts w:cs="Arial"/>
          <w:i/>
          <w:iCs/>
          <w:color w:val="000000" w:themeColor="text1"/>
          <w:szCs w:val="22"/>
          <w:shd w:val="clear" w:color="auto" w:fill="FFFFFF"/>
        </w:rPr>
        <w:t>Anais da Sociedade de Biologia de Pernambuco</w:t>
      </w:r>
      <w:r w:rsidR="00C7737D" w:rsidRPr="00C7737D">
        <w:rPr>
          <w:rStyle w:val="ref-journal"/>
          <w:rFonts w:cs="Arial"/>
          <w:i/>
          <w:iCs/>
          <w:color w:val="000000" w:themeColor="text1"/>
          <w:szCs w:val="22"/>
          <w:shd w:val="clear" w:color="auto" w:fill="FFFFFF"/>
        </w:rPr>
        <w:t>,</w:t>
      </w:r>
      <w:r w:rsidRPr="00C7737D">
        <w:rPr>
          <w:rFonts w:cs="Arial"/>
          <w:i/>
          <w:color w:val="000000" w:themeColor="text1"/>
          <w:szCs w:val="22"/>
          <w:shd w:val="clear" w:color="auto" w:fill="FFFFFF"/>
        </w:rPr>
        <w:t> </w:t>
      </w:r>
      <w:r w:rsidRPr="00C7737D">
        <w:rPr>
          <w:rStyle w:val="ref-vol"/>
          <w:rFonts w:cs="Arial"/>
          <w:i/>
          <w:color w:val="000000" w:themeColor="text1"/>
          <w:szCs w:val="22"/>
          <w:shd w:val="clear" w:color="auto" w:fill="FFFFFF"/>
        </w:rPr>
        <w:t>13</w:t>
      </w:r>
      <w:r w:rsidR="00C7737D" w:rsidRPr="00C7737D">
        <w:rPr>
          <w:rFonts w:cs="Arial"/>
          <w:i/>
          <w:color w:val="000000" w:themeColor="text1"/>
          <w:szCs w:val="22"/>
          <w:shd w:val="clear" w:color="auto" w:fill="FFFFFF"/>
        </w:rPr>
        <w:t>,</w:t>
      </w:r>
      <w:r w:rsidR="00C7737D">
        <w:rPr>
          <w:rFonts w:cs="Arial"/>
          <w:color w:val="000000" w:themeColor="text1"/>
          <w:szCs w:val="22"/>
          <w:shd w:val="clear" w:color="auto" w:fill="FFFFFF"/>
        </w:rPr>
        <w:t xml:space="preserve"> pp.</w:t>
      </w:r>
      <w:r w:rsidRPr="008061C0">
        <w:rPr>
          <w:rFonts w:cs="Arial"/>
          <w:color w:val="000000" w:themeColor="text1"/>
          <w:szCs w:val="22"/>
          <w:shd w:val="clear" w:color="auto" w:fill="FFFFFF"/>
        </w:rPr>
        <w:t xml:space="preserve"> 91–100</w:t>
      </w:r>
    </w:p>
    <w:p w14:paraId="3C6EC9D9" w14:textId="77777777" w:rsidR="00B27803" w:rsidRPr="008061C0" w:rsidRDefault="00B27803" w:rsidP="00B27803">
      <w:pPr>
        <w:rPr>
          <w:rFonts w:cs="Arial"/>
          <w:color w:val="000000" w:themeColor="text1"/>
          <w:szCs w:val="22"/>
          <w:shd w:val="clear" w:color="auto" w:fill="FFFFFF"/>
        </w:rPr>
      </w:pPr>
    </w:p>
    <w:p w14:paraId="014266BF" w14:textId="4E5BABF8" w:rsidR="00B27803" w:rsidRDefault="00B27803" w:rsidP="00B27803">
      <w:pPr>
        <w:rPr>
          <w:rFonts w:cs="Arial"/>
          <w:color w:val="000000" w:themeColor="text1"/>
          <w:szCs w:val="22"/>
          <w:shd w:val="clear" w:color="auto" w:fill="FFFFFF"/>
        </w:rPr>
      </w:pPr>
      <w:r w:rsidRPr="008061C0">
        <w:rPr>
          <w:rFonts w:cs="Arial"/>
          <w:color w:val="000000" w:themeColor="text1"/>
          <w:szCs w:val="22"/>
          <w:shd w:val="clear" w:color="auto" w:fill="FFFFFF"/>
        </w:rPr>
        <w:t>D’hooge, E., Becker, P., Stubbe, D., Normand, A.C., Piarroux, R. and Hendrickx, M., 2019. Black aspergilli: A remainin</w:t>
      </w:r>
      <w:r>
        <w:rPr>
          <w:rFonts w:cs="Arial"/>
          <w:color w:val="000000" w:themeColor="text1"/>
          <w:szCs w:val="22"/>
          <w:shd w:val="clear" w:color="auto" w:fill="FFFFFF"/>
        </w:rPr>
        <w:t>g challenge in fungal taxonomy?</w:t>
      </w:r>
      <w:r w:rsidRPr="008061C0">
        <w:rPr>
          <w:rFonts w:cs="Arial"/>
          <w:color w:val="000000" w:themeColor="text1"/>
          <w:szCs w:val="22"/>
          <w:shd w:val="clear" w:color="auto" w:fill="FFFFFF"/>
        </w:rPr>
        <w:t> </w:t>
      </w:r>
      <w:r>
        <w:rPr>
          <w:rFonts w:cs="Arial"/>
          <w:i/>
          <w:iCs/>
          <w:color w:val="000000" w:themeColor="text1"/>
          <w:szCs w:val="22"/>
          <w:shd w:val="clear" w:color="auto" w:fill="FFFFFF"/>
        </w:rPr>
        <w:t>Medical M</w:t>
      </w:r>
      <w:r w:rsidRPr="008061C0">
        <w:rPr>
          <w:rFonts w:cs="Arial"/>
          <w:i/>
          <w:iCs/>
          <w:color w:val="000000" w:themeColor="text1"/>
          <w:szCs w:val="22"/>
          <w:shd w:val="clear" w:color="auto" w:fill="FFFFFF"/>
        </w:rPr>
        <w:t>ycology</w:t>
      </w:r>
      <w:r w:rsidRPr="008061C0">
        <w:rPr>
          <w:rFonts w:cs="Arial"/>
          <w:color w:val="000000" w:themeColor="text1"/>
          <w:szCs w:val="22"/>
          <w:shd w:val="clear" w:color="auto" w:fill="FFFFFF"/>
        </w:rPr>
        <w:t>, </w:t>
      </w:r>
      <w:r w:rsidRPr="008061C0">
        <w:rPr>
          <w:rFonts w:cs="Arial"/>
          <w:i/>
          <w:iCs/>
          <w:color w:val="000000" w:themeColor="text1"/>
          <w:szCs w:val="22"/>
          <w:shd w:val="clear" w:color="auto" w:fill="FFFFFF"/>
        </w:rPr>
        <w:t>57</w:t>
      </w:r>
      <w:r w:rsidRPr="008061C0">
        <w:rPr>
          <w:rFonts w:cs="Arial"/>
          <w:color w:val="000000" w:themeColor="text1"/>
          <w:szCs w:val="22"/>
          <w:shd w:val="clear" w:color="auto" w:fill="FFFFFF"/>
        </w:rPr>
        <w:t>, pp.773-780.</w:t>
      </w:r>
    </w:p>
    <w:p w14:paraId="2712D345" w14:textId="18DF87F3" w:rsidR="00B27803" w:rsidRDefault="00B27803" w:rsidP="00B27803">
      <w:pPr>
        <w:rPr>
          <w:rFonts w:cs="Arial"/>
          <w:color w:val="000000" w:themeColor="text1"/>
          <w:szCs w:val="22"/>
          <w:shd w:val="clear" w:color="auto" w:fill="FFFFFF"/>
        </w:rPr>
      </w:pPr>
    </w:p>
    <w:p w14:paraId="526F3078" w14:textId="27CEED32" w:rsidR="00B27803" w:rsidRPr="00B27803" w:rsidRDefault="00B27803" w:rsidP="00B27803">
      <w:pPr>
        <w:rPr>
          <w:szCs w:val="22"/>
        </w:rPr>
      </w:pPr>
      <w:r w:rsidRPr="00B27803">
        <w:rPr>
          <w:szCs w:val="22"/>
        </w:rPr>
        <w:t xml:space="preserve">Douglass, J.S., Barraj, L.M., Tennant D.R., Long, W.R. and Chaisson, C.F. (1997) Evaluation of the Budget Method for screening food additive intakes, in </w:t>
      </w:r>
      <w:r w:rsidRPr="00B27803">
        <w:rPr>
          <w:i/>
          <w:szCs w:val="22"/>
        </w:rPr>
        <w:t>Food Additives and Contaminants</w:t>
      </w:r>
      <w:r w:rsidR="00C7737D" w:rsidRPr="00C7737D">
        <w:rPr>
          <w:i/>
          <w:szCs w:val="22"/>
        </w:rPr>
        <w:t>, 14</w:t>
      </w:r>
      <w:r w:rsidRPr="00C7737D">
        <w:rPr>
          <w:i/>
          <w:szCs w:val="22"/>
        </w:rPr>
        <w:t>,</w:t>
      </w:r>
      <w:r w:rsidRPr="00B27803">
        <w:rPr>
          <w:szCs w:val="22"/>
        </w:rPr>
        <w:t xml:space="preserve"> </w:t>
      </w:r>
      <w:r w:rsidR="00C7737D">
        <w:rPr>
          <w:szCs w:val="22"/>
        </w:rPr>
        <w:t xml:space="preserve">pp. </w:t>
      </w:r>
      <w:r w:rsidRPr="00B27803">
        <w:rPr>
          <w:szCs w:val="22"/>
        </w:rPr>
        <w:t>701-802.</w:t>
      </w:r>
    </w:p>
    <w:p w14:paraId="6B6C69DA" w14:textId="77777777" w:rsidR="00B27803" w:rsidRPr="008061C0" w:rsidRDefault="00B27803" w:rsidP="00B27803">
      <w:pPr>
        <w:rPr>
          <w:rFonts w:cs="Arial"/>
          <w:color w:val="000000" w:themeColor="text1"/>
          <w:szCs w:val="22"/>
          <w:shd w:val="clear" w:color="auto" w:fill="FFFFFF"/>
        </w:rPr>
      </w:pPr>
    </w:p>
    <w:p w14:paraId="3925C071" w14:textId="30902A6D" w:rsidR="00B27803" w:rsidRDefault="00B27803" w:rsidP="00B27803">
      <w:pPr>
        <w:rPr>
          <w:rFonts w:cs="Arial"/>
          <w:color w:val="000000" w:themeColor="text1"/>
          <w:szCs w:val="22"/>
          <w:shd w:val="clear" w:color="auto" w:fill="FFFFFF"/>
        </w:rPr>
      </w:pPr>
      <w:r w:rsidRPr="008061C0">
        <w:rPr>
          <w:rFonts w:cs="Arial"/>
          <w:color w:val="000000" w:themeColor="text1"/>
          <w:szCs w:val="22"/>
          <w:shd w:val="clear" w:color="auto" w:fill="FFFFFF"/>
        </w:rPr>
        <w:t>Ezekiel, C.N., Oyedele, O.A., Kraak, B., Ayeni, K.I., Sulyok, M., Houbraken, J. and Krska, R., 2020. Fungal diversity and mycotoxins in low moisture content ready-to-eat foods in Nigeria. </w:t>
      </w:r>
      <w:r>
        <w:rPr>
          <w:rFonts w:cs="Arial"/>
          <w:i/>
          <w:iCs/>
          <w:color w:val="000000" w:themeColor="text1"/>
          <w:szCs w:val="22"/>
          <w:shd w:val="clear" w:color="auto" w:fill="FFFFFF"/>
        </w:rPr>
        <w:t>Frontiers in M</w:t>
      </w:r>
      <w:r w:rsidRPr="008061C0">
        <w:rPr>
          <w:rFonts w:cs="Arial"/>
          <w:i/>
          <w:iCs/>
          <w:color w:val="000000" w:themeColor="text1"/>
          <w:szCs w:val="22"/>
          <w:shd w:val="clear" w:color="auto" w:fill="FFFFFF"/>
        </w:rPr>
        <w:t>icrobiology</w:t>
      </w:r>
      <w:r w:rsidRPr="008061C0">
        <w:rPr>
          <w:rFonts w:cs="Arial"/>
          <w:color w:val="000000" w:themeColor="text1"/>
          <w:szCs w:val="22"/>
          <w:shd w:val="clear" w:color="auto" w:fill="FFFFFF"/>
        </w:rPr>
        <w:t>, </w:t>
      </w:r>
      <w:r w:rsidRPr="008061C0">
        <w:rPr>
          <w:rFonts w:cs="Arial"/>
          <w:i/>
          <w:iCs/>
          <w:color w:val="000000" w:themeColor="text1"/>
          <w:szCs w:val="22"/>
          <w:shd w:val="clear" w:color="auto" w:fill="FFFFFF"/>
        </w:rPr>
        <w:t>11</w:t>
      </w:r>
      <w:r w:rsidRPr="008061C0">
        <w:rPr>
          <w:rFonts w:cs="Arial"/>
          <w:color w:val="000000" w:themeColor="text1"/>
          <w:szCs w:val="22"/>
          <w:shd w:val="clear" w:color="auto" w:fill="FFFFFF"/>
        </w:rPr>
        <w:t>, p</w:t>
      </w:r>
      <w:r w:rsidR="00C7737D">
        <w:rPr>
          <w:rFonts w:cs="Arial"/>
          <w:color w:val="000000" w:themeColor="text1"/>
          <w:szCs w:val="22"/>
          <w:shd w:val="clear" w:color="auto" w:fill="FFFFFF"/>
        </w:rPr>
        <w:t>p</w:t>
      </w:r>
      <w:r w:rsidRPr="008061C0">
        <w:rPr>
          <w:rFonts w:cs="Arial"/>
          <w:color w:val="000000" w:themeColor="text1"/>
          <w:szCs w:val="22"/>
          <w:shd w:val="clear" w:color="auto" w:fill="FFFFFF"/>
        </w:rPr>
        <w:t>.615.</w:t>
      </w:r>
    </w:p>
    <w:p w14:paraId="34E173AE" w14:textId="46848D99" w:rsidR="00B27803" w:rsidRDefault="00B27803" w:rsidP="00B27803">
      <w:pPr>
        <w:rPr>
          <w:rFonts w:cs="Arial"/>
          <w:color w:val="000000" w:themeColor="text1"/>
          <w:szCs w:val="22"/>
          <w:shd w:val="clear" w:color="auto" w:fill="FFFFFF"/>
        </w:rPr>
      </w:pPr>
    </w:p>
    <w:p w14:paraId="001B3037" w14:textId="287F4D29" w:rsidR="00B27803" w:rsidRPr="00B27803" w:rsidRDefault="00B27803" w:rsidP="00B27803">
      <w:pPr>
        <w:rPr>
          <w:szCs w:val="22"/>
          <w:highlight w:val="yellow"/>
        </w:rPr>
      </w:pPr>
      <w:r w:rsidRPr="00B27803">
        <w:rPr>
          <w:szCs w:val="22"/>
        </w:rPr>
        <w:t xml:space="preserve">FAO/WHO (2006) </w:t>
      </w:r>
      <w:hyperlink r:id="rId21" w:history="1">
        <w:r w:rsidRPr="00B27803">
          <w:rPr>
            <w:color w:val="3333FF"/>
            <w:szCs w:val="22"/>
            <w:u w:val="single"/>
          </w:rPr>
          <w:t>General specifications and considerations for enzyme preparations used in food processing</w:t>
        </w:r>
      </w:hyperlink>
      <w:r w:rsidRPr="00B27803">
        <w:rPr>
          <w:szCs w:val="22"/>
        </w:rPr>
        <w:t xml:space="preserve">. Accessed </w:t>
      </w:r>
      <w:r w:rsidR="00245977" w:rsidRPr="00245977">
        <w:rPr>
          <w:szCs w:val="22"/>
        </w:rPr>
        <w:t>27</w:t>
      </w:r>
      <w:r w:rsidRPr="00245977">
        <w:rPr>
          <w:szCs w:val="22"/>
        </w:rPr>
        <w:t xml:space="preserve"> </w:t>
      </w:r>
      <w:r w:rsidR="00245977" w:rsidRPr="00245977">
        <w:rPr>
          <w:szCs w:val="22"/>
        </w:rPr>
        <w:t>Sept</w:t>
      </w:r>
      <w:r w:rsidRPr="00245977">
        <w:rPr>
          <w:szCs w:val="22"/>
        </w:rPr>
        <w:t>ember 202</w:t>
      </w:r>
      <w:r w:rsidR="00245977" w:rsidRPr="00245977">
        <w:rPr>
          <w:szCs w:val="22"/>
        </w:rPr>
        <w:t>1</w:t>
      </w:r>
    </w:p>
    <w:p w14:paraId="66390B82" w14:textId="1F1356A9" w:rsidR="00B27803" w:rsidRDefault="00B27803" w:rsidP="00B27803">
      <w:pPr>
        <w:rPr>
          <w:rFonts w:cs="Arial"/>
          <w:color w:val="000000" w:themeColor="text1"/>
          <w:szCs w:val="22"/>
          <w:shd w:val="clear" w:color="auto" w:fill="FFFFFF"/>
        </w:rPr>
      </w:pPr>
    </w:p>
    <w:p w14:paraId="1613312D" w14:textId="77777777" w:rsidR="00B27803" w:rsidRPr="00B27803" w:rsidRDefault="00B27803" w:rsidP="00B27803">
      <w:pPr>
        <w:rPr>
          <w:szCs w:val="22"/>
        </w:rPr>
      </w:pPr>
      <w:r w:rsidRPr="00B27803">
        <w:rPr>
          <w:szCs w:val="22"/>
        </w:rPr>
        <w:t xml:space="preserve">FAO/WHO (2009) Environmental Health Criteria 240. Principles and Methods for the Risk Assessment of Chemicals in Food. Chapter 6 – Dietary exposure assessment of chemicals in food, WHO, Geneva. </w:t>
      </w:r>
    </w:p>
    <w:p w14:paraId="795236BA" w14:textId="77777777" w:rsidR="00B27803" w:rsidRPr="00B27803" w:rsidRDefault="00B27803" w:rsidP="00B27803">
      <w:pPr>
        <w:tabs>
          <w:tab w:val="left" w:pos="0"/>
        </w:tabs>
        <w:rPr>
          <w:rFonts w:cs="Arial"/>
          <w:noProof/>
          <w:szCs w:val="22"/>
        </w:rPr>
      </w:pPr>
    </w:p>
    <w:p w14:paraId="43F05072" w14:textId="1BA0143C" w:rsidR="00B27803" w:rsidRPr="00B27803" w:rsidRDefault="00B27803" w:rsidP="00B27803">
      <w:pPr>
        <w:tabs>
          <w:tab w:val="left" w:pos="0"/>
        </w:tabs>
        <w:rPr>
          <w:rFonts w:cs="Arial"/>
          <w:noProof/>
          <w:szCs w:val="22"/>
        </w:rPr>
      </w:pPr>
      <w:r w:rsidRPr="00B27803">
        <w:rPr>
          <w:rFonts w:cs="Arial"/>
          <w:noProof/>
          <w:szCs w:val="22"/>
        </w:rPr>
        <w:t xml:space="preserve">FSANZ (2013) Application A1055 - Short-chain Fructo-oligosaccharides: </w:t>
      </w:r>
      <w:hyperlink r:id="rId22" w:history="1">
        <w:r w:rsidRPr="00B27803">
          <w:rPr>
            <w:rStyle w:val="Hyperlink"/>
            <w:rFonts w:cs="Arial"/>
            <w:noProof/>
            <w:szCs w:val="22"/>
          </w:rPr>
          <w:t>Supporting Document 1 – Risk and Technical Assessment</w:t>
        </w:r>
      </w:hyperlink>
      <w:r w:rsidRPr="00B27803">
        <w:rPr>
          <w:rFonts w:cs="Arial"/>
          <w:noProof/>
          <w:szCs w:val="22"/>
        </w:rPr>
        <w:t>. Food Standards Australia New Zealand, Canberra. Accessed 24 September 2021</w:t>
      </w:r>
    </w:p>
    <w:p w14:paraId="785471CF" w14:textId="77777777" w:rsidR="00B27803" w:rsidRPr="008061C0" w:rsidRDefault="00B27803" w:rsidP="00B27803">
      <w:pPr>
        <w:rPr>
          <w:rFonts w:cs="Arial"/>
          <w:color w:val="000000" w:themeColor="text1"/>
          <w:szCs w:val="22"/>
          <w:shd w:val="clear" w:color="auto" w:fill="FFFFFF"/>
        </w:rPr>
      </w:pPr>
    </w:p>
    <w:p w14:paraId="5A9F0C55" w14:textId="043483D8" w:rsidR="00B27803" w:rsidRPr="008061C0" w:rsidRDefault="00B27803" w:rsidP="00B27803">
      <w:pPr>
        <w:spacing w:line="276" w:lineRule="auto"/>
        <w:rPr>
          <w:rFonts w:cs="Arial"/>
          <w:color w:val="000000" w:themeColor="text1"/>
          <w:szCs w:val="22"/>
          <w:shd w:val="clear" w:color="auto" w:fill="FFFFFF"/>
        </w:rPr>
      </w:pPr>
      <w:r w:rsidRPr="008061C0">
        <w:rPr>
          <w:rFonts w:cs="Arial"/>
          <w:color w:val="000000" w:themeColor="text1"/>
          <w:szCs w:val="22"/>
          <w:shd w:val="clear" w:color="auto" w:fill="FFFFFF"/>
        </w:rPr>
        <w:t>Jurjević, Ž., Peterson, S.W., Stea, G., Solfrizzo, M., Varga, J., Hubka, V. and Perrone, G., 2012. Two novel species of Aspergillus section Nigri from indoor air. </w:t>
      </w:r>
      <w:r w:rsidRPr="008061C0">
        <w:rPr>
          <w:rFonts w:cs="Arial"/>
          <w:i/>
          <w:iCs/>
          <w:color w:val="000000" w:themeColor="text1"/>
          <w:szCs w:val="22"/>
          <w:shd w:val="clear" w:color="auto" w:fill="FFFFFF"/>
        </w:rPr>
        <w:t>IMA fungus</w:t>
      </w:r>
      <w:r w:rsidRPr="008061C0">
        <w:rPr>
          <w:rFonts w:cs="Arial"/>
          <w:color w:val="000000" w:themeColor="text1"/>
          <w:szCs w:val="22"/>
          <w:shd w:val="clear" w:color="auto" w:fill="FFFFFF"/>
        </w:rPr>
        <w:t>, </w:t>
      </w:r>
      <w:r w:rsidRPr="008061C0">
        <w:rPr>
          <w:rFonts w:cs="Arial"/>
          <w:i/>
          <w:iCs/>
          <w:color w:val="000000" w:themeColor="text1"/>
          <w:szCs w:val="22"/>
          <w:shd w:val="clear" w:color="auto" w:fill="FFFFFF"/>
        </w:rPr>
        <w:t>3</w:t>
      </w:r>
      <w:r w:rsidRPr="008061C0">
        <w:rPr>
          <w:rFonts w:cs="Arial"/>
          <w:color w:val="000000" w:themeColor="text1"/>
          <w:szCs w:val="22"/>
          <w:shd w:val="clear" w:color="auto" w:fill="FFFFFF"/>
        </w:rPr>
        <w:t>, pp.159-173.</w:t>
      </w:r>
    </w:p>
    <w:p w14:paraId="22A8F5B8" w14:textId="77777777" w:rsidR="00B27803" w:rsidRPr="008061C0" w:rsidRDefault="00B27803" w:rsidP="00B27803">
      <w:pPr>
        <w:spacing w:line="276" w:lineRule="auto"/>
        <w:rPr>
          <w:rFonts w:cs="Arial"/>
          <w:color w:val="000000" w:themeColor="text1"/>
          <w:szCs w:val="22"/>
          <w:shd w:val="clear" w:color="auto" w:fill="FFFFFF"/>
        </w:rPr>
      </w:pPr>
    </w:p>
    <w:p w14:paraId="46E74958" w14:textId="7F7681FD" w:rsidR="00B27803" w:rsidRPr="008061C0" w:rsidRDefault="00B27803" w:rsidP="00B27803">
      <w:pPr>
        <w:spacing w:line="276" w:lineRule="auto"/>
        <w:rPr>
          <w:rFonts w:cs="Arial"/>
          <w:color w:val="000000" w:themeColor="text1"/>
          <w:szCs w:val="22"/>
          <w:shd w:val="clear" w:color="auto" w:fill="FFFFFF"/>
        </w:rPr>
      </w:pPr>
      <w:r w:rsidRPr="008061C0">
        <w:rPr>
          <w:rFonts w:cs="Arial"/>
          <w:color w:val="000000" w:themeColor="text1"/>
          <w:szCs w:val="22"/>
          <w:shd w:val="clear" w:color="auto" w:fill="FFFFFF"/>
        </w:rPr>
        <w:t>Huang, X., Xiao, Z., Kong, F., Chen, A.J., Perrone, G., Wang, Z., Wang, J. and Zhang, H., 2020. Diversity and ochratoxin A-fumonisin profile of black Aspergilli isolated from grapes in China. </w:t>
      </w:r>
      <w:r w:rsidRPr="008061C0">
        <w:rPr>
          <w:rFonts w:cs="Arial"/>
          <w:i/>
          <w:iCs/>
          <w:color w:val="000000" w:themeColor="text1"/>
          <w:szCs w:val="22"/>
          <w:shd w:val="clear" w:color="auto" w:fill="FFFFFF"/>
        </w:rPr>
        <w:t>World Mycotoxin Journal</w:t>
      </w:r>
      <w:r w:rsidRPr="008061C0">
        <w:rPr>
          <w:rFonts w:cs="Arial"/>
          <w:color w:val="000000" w:themeColor="text1"/>
          <w:szCs w:val="22"/>
          <w:shd w:val="clear" w:color="auto" w:fill="FFFFFF"/>
        </w:rPr>
        <w:t>, </w:t>
      </w:r>
      <w:r w:rsidRPr="008061C0">
        <w:rPr>
          <w:rFonts w:cs="Arial"/>
          <w:i/>
          <w:iCs/>
          <w:color w:val="000000" w:themeColor="text1"/>
          <w:szCs w:val="22"/>
          <w:shd w:val="clear" w:color="auto" w:fill="FFFFFF"/>
        </w:rPr>
        <w:t>13</w:t>
      </w:r>
      <w:r w:rsidRPr="008061C0">
        <w:rPr>
          <w:rFonts w:cs="Arial"/>
          <w:color w:val="000000" w:themeColor="text1"/>
          <w:szCs w:val="22"/>
          <w:shd w:val="clear" w:color="auto" w:fill="FFFFFF"/>
        </w:rPr>
        <w:t>, pp.225-234.</w:t>
      </w:r>
    </w:p>
    <w:p w14:paraId="31F582F8" w14:textId="77777777" w:rsidR="00B27803" w:rsidRPr="008061C0" w:rsidRDefault="00B27803" w:rsidP="00B27803">
      <w:pPr>
        <w:spacing w:line="276" w:lineRule="auto"/>
        <w:rPr>
          <w:rFonts w:cs="Arial"/>
          <w:color w:val="000000" w:themeColor="text1"/>
          <w:szCs w:val="22"/>
          <w:shd w:val="clear" w:color="auto" w:fill="FFFFFF"/>
        </w:rPr>
      </w:pPr>
    </w:p>
    <w:p w14:paraId="32AE414E" w14:textId="0C17DCF3" w:rsidR="00B27803" w:rsidRDefault="00B27803" w:rsidP="00B27803">
      <w:pPr>
        <w:rPr>
          <w:rFonts w:cs="Arial"/>
          <w:color w:val="000000" w:themeColor="text1"/>
          <w:szCs w:val="22"/>
          <w:lang w:val="en-AU"/>
        </w:rPr>
      </w:pPr>
      <w:r w:rsidRPr="008061C0">
        <w:rPr>
          <w:rFonts w:cs="Arial"/>
          <w:color w:val="000000" w:themeColor="text1"/>
          <w:szCs w:val="22"/>
          <w:lang w:val="en-AU"/>
        </w:rPr>
        <w:t>Hubka, V. and Kolarik, M., 2012. β-tubulin paralogue tubC is frequently misidentified as the benA gene in Aspergillus section Nigri taxonomy: primer specificity testing and taxonomic consequences. </w:t>
      </w:r>
      <w:r w:rsidRPr="008061C0">
        <w:rPr>
          <w:rFonts w:cs="Arial"/>
          <w:i/>
          <w:iCs/>
          <w:color w:val="000000" w:themeColor="text1"/>
          <w:szCs w:val="22"/>
          <w:lang w:val="en-AU"/>
        </w:rPr>
        <w:t>Persoonia: Molecular Phylogeny and Evolution of Fungi</w:t>
      </w:r>
      <w:r w:rsidRPr="008061C0">
        <w:rPr>
          <w:rFonts w:cs="Arial"/>
          <w:color w:val="000000" w:themeColor="text1"/>
          <w:szCs w:val="22"/>
          <w:lang w:val="en-AU"/>
        </w:rPr>
        <w:t>, </w:t>
      </w:r>
      <w:r w:rsidRPr="008061C0">
        <w:rPr>
          <w:rFonts w:cs="Arial"/>
          <w:i/>
          <w:iCs/>
          <w:color w:val="000000" w:themeColor="text1"/>
          <w:szCs w:val="22"/>
          <w:lang w:val="en-AU"/>
        </w:rPr>
        <w:t>29</w:t>
      </w:r>
      <w:r w:rsidRPr="008061C0">
        <w:rPr>
          <w:rFonts w:cs="Arial"/>
          <w:color w:val="000000" w:themeColor="text1"/>
          <w:szCs w:val="22"/>
          <w:lang w:val="en-AU"/>
        </w:rPr>
        <w:t>, p</w:t>
      </w:r>
      <w:r w:rsidR="00C7737D">
        <w:rPr>
          <w:rFonts w:cs="Arial"/>
          <w:color w:val="000000" w:themeColor="text1"/>
          <w:szCs w:val="22"/>
          <w:lang w:val="en-AU"/>
        </w:rPr>
        <w:t>p</w:t>
      </w:r>
      <w:r w:rsidRPr="008061C0">
        <w:rPr>
          <w:rFonts w:cs="Arial"/>
          <w:color w:val="000000" w:themeColor="text1"/>
          <w:szCs w:val="22"/>
          <w:lang w:val="en-AU"/>
        </w:rPr>
        <w:t>.1.</w:t>
      </w:r>
    </w:p>
    <w:p w14:paraId="2050B74F" w14:textId="48F87A2C" w:rsidR="00B27803" w:rsidRDefault="00B27803" w:rsidP="00B27803">
      <w:pPr>
        <w:rPr>
          <w:rFonts w:cs="Arial"/>
          <w:color w:val="000000" w:themeColor="text1"/>
          <w:szCs w:val="22"/>
          <w:lang w:val="en-AU"/>
        </w:rPr>
      </w:pPr>
    </w:p>
    <w:p w14:paraId="7F73CACA" w14:textId="0791F002" w:rsidR="00B27803" w:rsidRPr="00B27803" w:rsidRDefault="00B27803" w:rsidP="00B27803">
      <w:pPr>
        <w:tabs>
          <w:tab w:val="left" w:pos="0"/>
        </w:tabs>
        <w:rPr>
          <w:rFonts w:cs="Arial"/>
          <w:noProof/>
          <w:szCs w:val="22"/>
        </w:rPr>
      </w:pPr>
      <w:r w:rsidRPr="00B27803">
        <w:rPr>
          <w:rFonts w:cs="Arial"/>
          <w:noProof/>
          <w:szCs w:val="22"/>
        </w:rPr>
        <w:t xml:space="preserve">IUBMB Enzyme Nomenclature EC 3.2.1.26 </w:t>
      </w:r>
      <w:hyperlink r:id="rId23" w:history="1">
        <w:r w:rsidRPr="00B27803">
          <w:rPr>
            <w:rStyle w:val="Hyperlink"/>
            <w:szCs w:val="22"/>
          </w:rPr>
          <w:t>https://www.qmul.ac.uk/sbcs/iubmb/enzyme/EC3/2/1/26.html</w:t>
        </w:r>
      </w:hyperlink>
      <w:r w:rsidRPr="00B27803">
        <w:rPr>
          <w:color w:val="FF0000"/>
          <w:szCs w:val="22"/>
        </w:rPr>
        <w:t xml:space="preserve">. </w:t>
      </w:r>
      <w:r w:rsidRPr="00B27803">
        <w:rPr>
          <w:rFonts w:cs="Arial"/>
          <w:noProof/>
          <w:color w:val="FF0000"/>
          <w:szCs w:val="22"/>
        </w:rPr>
        <w:t xml:space="preserve"> </w:t>
      </w:r>
      <w:r w:rsidRPr="000C5015">
        <w:rPr>
          <w:rFonts w:cs="Arial"/>
          <w:szCs w:val="22"/>
        </w:rPr>
        <w:t xml:space="preserve">Accessed </w:t>
      </w:r>
      <w:r w:rsidR="000C5015" w:rsidRPr="000C5015">
        <w:rPr>
          <w:rFonts w:cs="Arial"/>
          <w:noProof/>
          <w:szCs w:val="22"/>
        </w:rPr>
        <w:t>27</w:t>
      </w:r>
      <w:r w:rsidRPr="000C5015">
        <w:rPr>
          <w:rFonts w:cs="Arial"/>
          <w:noProof/>
          <w:szCs w:val="22"/>
        </w:rPr>
        <w:t xml:space="preserve"> </w:t>
      </w:r>
      <w:r w:rsidR="000C5015" w:rsidRPr="000C5015">
        <w:rPr>
          <w:rFonts w:cs="Arial"/>
          <w:noProof/>
          <w:szCs w:val="22"/>
        </w:rPr>
        <w:t>September</w:t>
      </w:r>
      <w:r w:rsidRPr="000C5015">
        <w:rPr>
          <w:rFonts w:cs="Arial"/>
          <w:szCs w:val="22"/>
        </w:rPr>
        <w:t xml:space="preserve"> 2021 </w:t>
      </w:r>
    </w:p>
    <w:p w14:paraId="620C25AD" w14:textId="77777777" w:rsidR="00B27803" w:rsidRPr="008061C0" w:rsidRDefault="00B27803" w:rsidP="00B27803">
      <w:pPr>
        <w:rPr>
          <w:rFonts w:cs="Arial"/>
          <w:color w:val="000000" w:themeColor="text1"/>
          <w:szCs w:val="22"/>
        </w:rPr>
      </w:pPr>
    </w:p>
    <w:p w14:paraId="070E3D9C" w14:textId="77777777" w:rsidR="00B27803" w:rsidRPr="008061C0" w:rsidRDefault="00B27803" w:rsidP="00B27803">
      <w:pPr>
        <w:rPr>
          <w:rFonts w:cs="Arial"/>
          <w:color w:val="000000" w:themeColor="text1"/>
          <w:szCs w:val="22"/>
          <w:lang w:val="en-AU"/>
        </w:rPr>
      </w:pPr>
      <w:r w:rsidRPr="008061C0">
        <w:rPr>
          <w:rFonts w:cs="Arial"/>
          <w:color w:val="000000" w:themeColor="text1"/>
          <w:szCs w:val="22"/>
          <w:lang w:val="en-AU"/>
        </w:rPr>
        <w:t xml:space="preserve">Samson, R.A., Visagie, C.M., Houbraken, J., Hong, S.B., Hubka, V., Klaassen, C.H., </w:t>
      </w:r>
      <w:r w:rsidRPr="008061C0">
        <w:rPr>
          <w:rFonts w:cs="Arial"/>
          <w:color w:val="000000" w:themeColor="text1"/>
          <w:szCs w:val="22"/>
          <w:lang w:val="en-AU"/>
        </w:rPr>
        <w:lastRenderedPageBreak/>
        <w:t>Perrone, G., Seifert, K.A., Susca, A., Tanney, J.B. and Varga, J., 2014. Phylogeny, identification and nomenclature of the genus Aspergillus. </w:t>
      </w:r>
      <w:r w:rsidRPr="008061C0">
        <w:rPr>
          <w:rFonts w:cs="Arial"/>
          <w:i/>
          <w:iCs/>
          <w:color w:val="000000" w:themeColor="text1"/>
          <w:szCs w:val="22"/>
          <w:lang w:val="en-AU"/>
        </w:rPr>
        <w:t>Studies in mycology</w:t>
      </w:r>
      <w:r w:rsidRPr="008061C0">
        <w:rPr>
          <w:rFonts w:cs="Arial"/>
          <w:color w:val="000000" w:themeColor="text1"/>
          <w:szCs w:val="22"/>
          <w:lang w:val="en-AU"/>
        </w:rPr>
        <w:t>, </w:t>
      </w:r>
      <w:r w:rsidRPr="008061C0">
        <w:rPr>
          <w:rFonts w:cs="Arial"/>
          <w:i/>
          <w:iCs/>
          <w:color w:val="000000" w:themeColor="text1"/>
          <w:szCs w:val="22"/>
          <w:lang w:val="en-AU"/>
        </w:rPr>
        <w:t>78</w:t>
      </w:r>
      <w:r w:rsidRPr="008061C0">
        <w:rPr>
          <w:rFonts w:cs="Arial"/>
          <w:color w:val="000000" w:themeColor="text1"/>
          <w:szCs w:val="22"/>
          <w:lang w:val="en-AU"/>
        </w:rPr>
        <w:t>, pp.141-173.</w:t>
      </w:r>
    </w:p>
    <w:p w14:paraId="485E4264" w14:textId="77777777" w:rsidR="00B27803" w:rsidRPr="008061C0" w:rsidRDefault="00B27803" w:rsidP="00B27803">
      <w:pPr>
        <w:rPr>
          <w:rFonts w:cs="Arial"/>
          <w:b/>
          <w:color w:val="000000" w:themeColor="text1"/>
          <w:szCs w:val="22"/>
        </w:rPr>
      </w:pPr>
    </w:p>
    <w:p w14:paraId="6325E36C" w14:textId="15F6E809" w:rsidR="00B27803" w:rsidRDefault="00B27803" w:rsidP="00B27803">
      <w:pPr>
        <w:rPr>
          <w:rFonts w:cs="Arial"/>
          <w:color w:val="000000" w:themeColor="text1"/>
          <w:szCs w:val="22"/>
        </w:rPr>
      </w:pPr>
      <w:r w:rsidRPr="008061C0">
        <w:rPr>
          <w:rFonts w:cs="Arial"/>
          <w:color w:val="000000" w:themeColor="text1"/>
          <w:szCs w:val="22"/>
        </w:rPr>
        <w:t xml:space="preserve">Somma, S., Perrone, G. and Logrieco, A.F., 2012. Diversity of black Aspergilli and mycotoxin risks in grape, wine and dried vine fruits. </w:t>
      </w:r>
      <w:r w:rsidRPr="00C7737D">
        <w:rPr>
          <w:rFonts w:cs="Arial"/>
          <w:i/>
          <w:color w:val="000000" w:themeColor="text1"/>
          <w:szCs w:val="22"/>
        </w:rPr>
        <w:t>Phytopathologia Mediterranea</w:t>
      </w:r>
      <w:r w:rsidR="00C7737D">
        <w:rPr>
          <w:rFonts w:cs="Arial"/>
          <w:i/>
          <w:color w:val="000000" w:themeColor="text1"/>
          <w:szCs w:val="22"/>
        </w:rPr>
        <w:t>,</w:t>
      </w:r>
      <w:r w:rsidRPr="008061C0">
        <w:rPr>
          <w:rFonts w:cs="Arial"/>
          <w:color w:val="000000" w:themeColor="text1"/>
          <w:szCs w:val="22"/>
        </w:rPr>
        <w:t xml:space="preserve"> </w:t>
      </w:r>
      <w:r w:rsidRPr="00C7737D">
        <w:rPr>
          <w:rFonts w:cs="Arial"/>
          <w:i/>
          <w:color w:val="000000" w:themeColor="text1"/>
          <w:szCs w:val="22"/>
        </w:rPr>
        <w:t>51</w:t>
      </w:r>
      <w:r w:rsidR="00C7737D">
        <w:rPr>
          <w:rFonts w:cs="Arial"/>
          <w:color w:val="000000" w:themeColor="text1"/>
          <w:szCs w:val="22"/>
        </w:rPr>
        <w:t>,</w:t>
      </w:r>
      <w:r w:rsidRPr="008061C0">
        <w:rPr>
          <w:rFonts w:cs="Arial"/>
          <w:color w:val="000000" w:themeColor="text1"/>
          <w:szCs w:val="22"/>
        </w:rPr>
        <w:t xml:space="preserve"> </w:t>
      </w:r>
      <w:r w:rsidR="00C7737D">
        <w:rPr>
          <w:rFonts w:cs="Arial"/>
          <w:color w:val="000000" w:themeColor="text1"/>
          <w:szCs w:val="22"/>
        </w:rPr>
        <w:t xml:space="preserve">pp. </w:t>
      </w:r>
      <w:r w:rsidRPr="008061C0">
        <w:rPr>
          <w:rFonts w:cs="Arial"/>
          <w:color w:val="000000" w:themeColor="text1"/>
          <w:szCs w:val="22"/>
        </w:rPr>
        <w:t>131-147.</w:t>
      </w:r>
    </w:p>
    <w:p w14:paraId="4E82356D" w14:textId="5EDC659C" w:rsidR="00B27803" w:rsidRDefault="00B27803" w:rsidP="00B27803">
      <w:pPr>
        <w:rPr>
          <w:rFonts w:cs="Arial"/>
          <w:color w:val="000000" w:themeColor="text1"/>
          <w:szCs w:val="22"/>
        </w:rPr>
      </w:pPr>
    </w:p>
    <w:p w14:paraId="483307FC" w14:textId="514B59D9" w:rsidR="00B27803" w:rsidRPr="00B27803" w:rsidRDefault="00B27803" w:rsidP="00B27803">
      <w:pPr>
        <w:rPr>
          <w:rFonts w:eastAsia="Calibri"/>
          <w:szCs w:val="22"/>
          <w:lang w:eastAsia="en-AU" w:bidi="ar-SA"/>
        </w:rPr>
      </w:pPr>
      <w:r w:rsidRPr="00B27803">
        <w:rPr>
          <w:szCs w:val="22"/>
        </w:rPr>
        <w:t>The United States Pharmacopeia (20</w:t>
      </w:r>
      <w:r w:rsidR="007904EE">
        <w:rPr>
          <w:szCs w:val="22"/>
        </w:rPr>
        <w:t>20</w:t>
      </w:r>
      <w:r w:rsidRPr="00B27803">
        <w:rPr>
          <w:szCs w:val="22"/>
        </w:rPr>
        <w:t>) Food Chemicals Codex 1</w:t>
      </w:r>
      <w:r w:rsidR="007904EE">
        <w:rPr>
          <w:szCs w:val="22"/>
        </w:rPr>
        <w:t>2</w:t>
      </w:r>
      <w:r w:rsidRPr="00B27803">
        <w:rPr>
          <w:szCs w:val="22"/>
        </w:rPr>
        <w:t xml:space="preserve">th Edition, United States Pharmacopeial Convention, Rockville, MD. </w:t>
      </w:r>
    </w:p>
    <w:p w14:paraId="3F92920E" w14:textId="77777777" w:rsidR="00B27803" w:rsidRPr="008061C0" w:rsidRDefault="00B27803" w:rsidP="00B27803">
      <w:pPr>
        <w:rPr>
          <w:rFonts w:cs="Arial"/>
          <w:color w:val="000000" w:themeColor="text1"/>
          <w:szCs w:val="22"/>
        </w:rPr>
      </w:pPr>
    </w:p>
    <w:p w14:paraId="74FA0B88" w14:textId="77777777" w:rsidR="00B27803" w:rsidRPr="008061C0" w:rsidRDefault="00B27803" w:rsidP="00B27803">
      <w:pPr>
        <w:rPr>
          <w:rFonts w:cs="Arial"/>
          <w:color w:val="000000" w:themeColor="text1"/>
          <w:szCs w:val="22"/>
          <w:lang w:val="en-AU"/>
        </w:rPr>
      </w:pPr>
      <w:r w:rsidRPr="008061C0">
        <w:rPr>
          <w:rFonts w:cs="Arial"/>
          <w:color w:val="000000" w:themeColor="text1"/>
          <w:szCs w:val="22"/>
          <w:lang w:val="en-AU"/>
        </w:rPr>
        <w:t>Varga, J., Frisvad, J.C., Kocsubé, S., Brankovics, B., Tóth, B., Szigeti, G. and Samson, R.A., 2011. New and revisited species in Aspergillus section Nigri. </w:t>
      </w:r>
      <w:r w:rsidRPr="008061C0">
        <w:rPr>
          <w:rFonts w:cs="Arial"/>
          <w:i/>
          <w:iCs/>
          <w:color w:val="000000" w:themeColor="text1"/>
          <w:szCs w:val="22"/>
          <w:lang w:val="en-AU"/>
        </w:rPr>
        <w:t>Studies in Mycology</w:t>
      </w:r>
      <w:r w:rsidRPr="008061C0">
        <w:rPr>
          <w:rFonts w:cs="Arial"/>
          <w:color w:val="000000" w:themeColor="text1"/>
          <w:szCs w:val="22"/>
          <w:lang w:val="en-AU"/>
        </w:rPr>
        <w:t>, </w:t>
      </w:r>
      <w:r w:rsidRPr="008061C0">
        <w:rPr>
          <w:rFonts w:cs="Arial"/>
          <w:i/>
          <w:iCs/>
          <w:color w:val="000000" w:themeColor="text1"/>
          <w:szCs w:val="22"/>
          <w:lang w:val="en-AU"/>
        </w:rPr>
        <w:t>69</w:t>
      </w:r>
      <w:r w:rsidRPr="008061C0">
        <w:rPr>
          <w:rFonts w:cs="Arial"/>
          <w:color w:val="000000" w:themeColor="text1"/>
          <w:szCs w:val="22"/>
          <w:lang w:val="en-AU"/>
        </w:rPr>
        <w:t>, pp.1-17.</w:t>
      </w:r>
    </w:p>
    <w:p w14:paraId="3799688D" w14:textId="77777777" w:rsidR="00B27803" w:rsidRPr="008061C0" w:rsidRDefault="00B27803" w:rsidP="00B27803">
      <w:pPr>
        <w:rPr>
          <w:rFonts w:cs="Arial"/>
          <w:color w:val="000000" w:themeColor="text1"/>
          <w:szCs w:val="22"/>
        </w:rPr>
      </w:pPr>
    </w:p>
    <w:p w14:paraId="134CC4B7" w14:textId="6A8A11F5" w:rsidR="00B27803" w:rsidRPr="008061C0" w:rsidRDefault="00B27803" w:rsidP="00B27803">
      <w:pPr>
        <w:rPr>
          <w:rFonts w:cs="Arial"/>
          <w:color w:val="000000" w:themeColor="text1"/>
          <w:szCs w:val="22"/>
        </w:rPr>
      </w:pPr>
      <w:r w:rsidRPr="008061C0">
        <w:rPr>
          <w:rFonts w:cs="Arial"/>
          <w:color w:val="000000" w:themeColor="text1"/>
          <w:szCs w:val="22"/>
          <w:shd w:val="clear" w:color="auto" w:fill="FFFFFF"/>
        </w:rPr>
        <w:t>Vesth, T.C., Nybo, J.L., Theobald, S., Frisvad, J.C., Larsen, T.O., Nielsen, K.F., Hoof, J.B., Brandl, J., Salamov, A., Riley, R. and Gladden, J.M., 2018. Investigation of inter-and intraspecies variation through genome sequencing of Aspergillus section Nigri. </w:t>
      </w:r>
      <w:r w:rsidRPr="008061C0">
        <w:rPr>
          <w:rFonts w:cs="Arial"/>
          <w:i/>
          <w:iCs/>
          <w:color w:val="000000" w:themeColor="text1"/>
          <w:szCs w:val="22"/>
          <w:shd w:val="clear" w:color="auto" w:fill="FFFFFF"/>
        </w:rPr>
        <w:t>Nature Genetics</w:t>
      </w:r>
      <w:r w:rsidRPr="008061C0">
        <w:rPr>
          <w:rFonts w:cs="Arial"/>
          <w:color w:val="000000" w:themeColor="text1"/>
          <w:szCs w:val="22"/>
          <w:shd w:val="clear" w:color="auto" w:fill="FFFFFF"/>
        </w:rPr>
        <w:t>, </w:t>
      </w:r>
      <w:r w:rsidRPr="008061C0">
        <w:rPr>
          <w:rFonts w:cs="Arial"/>
          <w:i/>
          <w:iCs/>
          <w:color w:val="000000" w:themeColor="text1"/>
          <w:szCs w:val="22"/>
          <w:shd w:val="clear" w:color="auto" w:fill="FFFFFF"/>
        </w:rPr>
        <w:t>50</w:t>
      </w:r>
      <w:r w:rsidRPr="008061C0">
        <w:rPr>
          <w:rFonts w:cs="Arial"/>
          <w:color w:val="000000" w:themeColor="text1"/>
          <w:szCs w:val="22"/>
          <w:shd w:val="clear" w:color="auto" w:fill="FFFFFF"/>
        </w:rPr>
        <w:t>, pp.1688-1695.</w:t>
      </w:r>
    </w:p>
    <w:p w14:paraId="03234BA5" w14:textId="77777777" w:rsidR="00B27803" w:rsidRDefault="00B27803" w:rsidP="00B27803"/>
    <w:p w14:paraId="477E1F55" w14:textId="77777777" w:rsidR="00B27803" w:rsidRPr="00EC273B" w:rsidRDefault="00B27803" w:rsidP="00690206">
      <w:pPr>
        <w:rPr>
          <w:lang w:val="en-AU"/>
        </w:rPr>
      </w:pPr>
    </w:p>
    <w:sectPr w:rsidR="00B27803" w:rsidRPr="00EC273B" w:rsidSect="0054272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982C0" w14:textId="77777777" w:rsidR="00CE7740" w:rsidRDefault="00CE7740">
      <w:r>
        <w:separator/>
      </w:r>
    </w:p>
  </w:endnote>
  <w:endnote w:type="continuationSeparator" w:id="0">
    <w:p w14:paraId="19C02140" w14:textId="77777777" w:rsidR="00CE7740" w:rsidRDefault="00CE7740">
      <w:r>
        <w:continuationSeparator/>
      </w:r>
    </w:p>
  </w:endnote>
  <w:endnote w:type="continuationNotice" w:id="1">
    <w:p w14:paraId="7193EF4F" w14:textId="77777777" w:rsidR="00CE7740" w:rsidRDefault="00CE77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IDFont+F3">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4750A" w14:textId="0DD588B3" w:rsidR="008326BF" w:rsidRDefault="008326BF" w:rsidP="002F3971">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210AC100" w14:textId="77777777" w:rsidR="008326BF" w:rsidRDefault="008326BF" w:rsidP="005C2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95107" w14:textId="1A7472BE" w:rsidR="008326BF" w:rsidRDefault="008326BF"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4635">
      <w:rPr>
        <w:rStyle w:val="PageNumber"/>
        <w:noProof/>
      </w:rPr>
      <w:t>i</w:t>
    </w:r>
    <w:r>
      <w:rPr>
        <w:rStyle w:val="PageNumber"/>
      </w:rPr>
      <w:fldChar w:fldCharType="end"/>
    </w:r>
  </w:p>
  <w:p w14:paraId="7C4636D5" w14:textId="77777777" w:rsidR="008326BF" w:rsidRDefault="008326BF" w:rsidP="005C2B0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2CE5D" w14:textId="77777777" w:rsidR="00CE7740" w:rsidRDefault="00CE7740">
      <w:r>
        <w:separator/>
      </w:r>
    </w:p>
  </w:footnote>
  <w:footnote w:type="continuationSeparator" w:id="0">
    <w:p w14:paraId="01394E6E" w14:textId="77777777" w:rsidR="00CE7740" w:rsidRDefault="00CE7740">
      <w:r>
        <w:continuationSeparator/>
      </w:r>
    </w:p>
  </w:footnote>
  <w:footnote w:type="continuationNotice" w:id="1">
    <w:p w14:paraId="3F5FF5B5" w14:textId="77777777" w:rsidR="00CE7740" w:rsidRDefault="00CE7740"/>
  </w:footnote>
  <w:footnote w:id="2">
    <w:p w14:paraId="3C456432" w14:textId="65E3C749" w:rsidR="008326BF" w:rsidRPr="00D7071E" w:rsidRDefault="008326BF" w:rsidP="00FC7A71">
      <w:pPr>
        <w:pStyle w:val="FootnoteText"/>
        <w:rPr>
          <w:lang w:val="en-AU"/>
        </w:rPr>
      </w:pPr>
      <w:r>
        <w:rPr>
          <w:rStyle w:val="FootnoteReference"/>
        </w:rPr>
        <w:footnoteRef/>
      </w:r>
      <w:r>
        <w:t xml:space="preserve"> </w:t>
      </w:r>
      <w:r w:rsidRPr="008B2780">
        <w:rPr>
          <w:color w:val="0000FF"/>
          <w:u w:val="single"/>
        </w:rPr>
        <w:t>Application A1055 - Short-chain Fructo-oligosaccharides</w:t>
      </w:r>
      <w:r>
        <w:t xml:space="preserve"> </w:t>
      </w:r>
    </w:p>
  </w:footnote>
  <w:footnote w:id="3">
    <w:p w14:paraId="3353F147" w14:textId="77777777" w:rsidR="008326BF" w:rsidRPr="008B2780" w:rsidRDefault="008326BF" w:rsidP="00C63704">
      <w:pPr>
        <w:pStyle w:val="FootnoteText"/>
        <w:rPr>
          <w:lang w:val="en-AU"/>
        </w:rPr>
      </w:pPr>
      <w:r>
        <w:rPr>
          <w:rStyle w:val="FootnoteReference"/>
        </w:rPr>
        <w:footnoteRef/>
      </w:r>
      <w:r>
        <w:t xml:space="preserve"> </w:t>
      </w:r>
      <w:r w:rsidRPr="008B2780">
        <w:t>International Union of Biochemistry and Molecular Biology</w:t>
      </w:r>
    </w:p>
  </w:footnote>
  <w:footnote w:id="4">
    <w:p w14:paraId="365BFE6B" w14:textId="77777777" w:rsidR="008326BF" w:rsidRPr="006D0450" w:rsidRDefault="008326BF" w:rsidP="00C63704">
      <w:pPr>
        <w:pStyle w:val="FootnoteText"/>
        <w:rPr>
          <w:lang w:val="en-AU"/>
        </w:rPr>
      </w:pPr>
      <w:r w:rsidRPr="008B2780">
        <w:rPr>
          <w:rStyle w:val="FootnoteReference"/>
        </w:rPr>
        <w:footnoteRef/>
      </w:r>
      <w:r w:rsidRPr="008B2780">
        <w:t xml:space="preserve"> </w:t>
      </w:r>
      <w:r w:rsidRPr="008B2780">
        <w:rPr>
          <w:lang w:val="en-AU"/>
        </w:rPr>
        <w:t>Chemical Abstracts Service</w:t>
      </w:r>
      <w:r>
        <w:rPr>
          <w:lang w:val="en-AU"/>
        </w:rPr>
        <w:t xml:space="preserve"> </w:t>
      </w:r>
    </w:p>
  </w:footnote>
  <w:footnote w:id="5">
    <w:p w14:paraId="4DECCB6D" w14:textId="57CC5BBC" w:rsidR="008326BF" w:rsidRDefault="008326BF">
      <w:pPr>
        <w:pStyle w:val="FootnoteText"/>
        <w:rPr>
          <w:lang w:val="en-AU"/>
        </w:rPr>
      </w:pPr>
      <w:r>
        <w:rPr>
          <w:rStyle w:val="FootnoteReference"/>
        </w:rPr>
        <w:footnoteRef/>
      </w:r>
      <w:r>
        <w:t xml:space="preserve"> </w:t>
      </w:r>
      <w:r>
        <w:rPr>
          <w:lang w:val="en-AU"/>
        </w:rPr>
        <w:t>See also: c</w:t>
      </w:r>
      <w:r w:rsidRPr="00056829">
        <w:rPr>
          <w:lang w:val="en-AU"/>
        </w:rPr>
        <w:t xml:space="preserve">urrent accepted species list </w:t>
      </w:r>
      <w:hyperlink r:id="rId1" w:history="1">
        <w:r w:rsidRPr="0008552E">
          <w:rPr>
            <w:rStyle w:val="Hyperlink"/>
            <w:lang w:val="en-AU"/>
          </w:rPr>
          <w:t>https://www.aspergilluspenicillium.org</w:t>
        </w:r>
      </w:hyperlink>
    </w:p>
    <w:p w14:paraId="618150BE" w14:textId="77777777" w:rsidR="008326BF" w:rsidRPr="00056829" w:rsidRDefault="008326BF">
      <w:pPr>
        <w:pStyle w:val="FootnoteText"/>
        <w:rPr>
          <w:lang w:val="en-AU"/>
        </w:rPr>
      </w:pPr>
    </w:p>
  </w:footnote>
  <w:footnote w:id="6">
    <w:p w14:paraId="27A60459" w14:textId="77777777" w:rsidR="008326BF" w:rsidRPr="00B640CA" w:rsidRDefault="008326BF" w:rsidP="00A05E61">
      <w:pPr>
        <w:pStyle w:val="FootnoteText"/>
        <w:rPr>
          <w:lang w:val="en-AU"/>
        </w:rPr>
      </w:pPr>
      <w:r>
        <w:rPr>
          <w:rStyle w:val="FootnoteReference"/>
        </w:rPr>
        <w:footnoteRef/>
      </w:r>
      <w:r>
        <w:t xml:space="preserve"> </w:t>
      </w:r>
      <w:hyperlink r:id="rId2" w:history="1">
        <w:r w:rsidRPr="007443E5">
          <w:rPr>
            <w:rStyle w:val="Hyperlink"/>
            <w:sz w:val="18"/>
          </w:rPr>
          <w:t>https://www.cdc.gov/biosafety/publications/bmbl5/index.htm</w:t>
        </w:r>
      </w:hyperlink>
    </w:p>
  </w:footnote>
  <w:footnote w:id="7">
    <w:p w14:paraId="0B85E5DB" w14:textId="2243F528" w:rsidR="008326BF" w:rsidRPr="00776351" w:rsidRDefault="008326BF">
      <w:pPr>
        <w:pStyle w:val="FootnoteText"/>
        <w:rPr>
          <w:lang w:val="en-AU"/>
        </w:rPr>
      </w:pPr>
      <w:r>
        <w:rPr>
          <w:rStyle w:val="FootnoteReference"/>
        </w:rPr>
        <w:footnoteRef/>
      </w:r>
      <w:r>
        <w:t xml:space="preserve"> AllergenOnline</w:t>
      </w:r>
      <w:r w:rsidRPr="00E36199">
        <w:t>:</w:t>
      </w:r>
      <w:r>
        <w:t xml:space="preserve"> </w:t>
      </w:r>
      <w:hyperlink r:id="rId3" w:history="1">
        <w:r w:rsidRPr="00E36199">
          <w:rPr>
            <w:rStyle w:val="Hyperlink"/>
          </w:rPr>
          <w:t>http://www.allergenonline.org/</w:t>
        </w:r>
      </w:hyperlink>
    </w:p>
  </w:footnote>
  <w:footnote w:id="8">
    <w:p w14:paraId="27CC74EA" w14:textId="52587F40" w:rsidR="008326BF" w:rsidRPr="00776351" w:rsidRDefault="008326BF">
      <w:pPr>
        <w:pStyle w:val="FootnoteText"/>
        <w:rPr>
          <w:lang w:val="en-AU"/>
        </w:rPr>
      </w:pPr>
      <w:r>
        <w:rPr>
          <w:rStyle w:val="FootnoteReference"/>
        </w:rPr>
        <w:footnoteRef/>
      </w:r>
      <w:r>
        <w:t xml:space="preserve"> </w:t>
      </w:r>
      <w:r w:rsidRPr="00776351">
        <w:t>The E value (or Expect value) indicates the significance of a match found when searching a sequence database. The closer an E value gets to zero, the less likely an alignment could have been produced by chance.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0B202" w14:textId="2321B8FA" w:rsidR="008326BF" w:rsidRDefault="008326BF">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26054271"/>
    <w:multiLevelType w:val="hybridMultilevel"/>
    <w:tmpl w:val="6C741730"/>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2"/>
  </w:num>
  <w:num w:numId="3">
    <w:abstractNumId w:val="0"/>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469B"/>
    <w:rsid w:val="00015EEC"/>
    <w:rsid w:val="00021964"/>
    <w:rsid w:val="00030147"/>
    <w:rsid w:val="00035289"/>
    <w:rsid w:val="00035FF3"/>
    <w:rsid w:val="0004640C"/>
    <w:rsid w:val="00051021"/>
    <w:rsid w:val="00051ED9"/>
    <w:rsid w:val="0005250B"/>
    <w:rsid w:val="0005449B"/>
    <w:rsid w:val="000544E7"/>
    <w:rsid w:val="00056829"/>
    <w:rsid w:val="00057181"/>
    <w:rsid w:val="000600BF"/>
    <w:rsid w:val="0006473A"/>
    <w:rsid w:val="00064B2D"/>
    <w:rsid w:val="00065F1F"/>
    <w:rsid w:val="00066488"/>
    <w:rsid w:val="00074441"/>
    <w:rsid w:val="00076D33"/>
    <w:rsid w:val="0008081B"/>
    <w:rsid w:val="00086789"/>
    <w:rsid w:val="000929E0"/>
    <w:rsid w:val="00092CDA"/>
    <w:rsid w:val="000A27E9"/>
    <w:rsid w:val="000A3D8B"/>
    <w:rsid w:val="000A5DF8"/>
    <w:rsid w:val="000B0405"/>
    <w:rsid w:val="000B4510"/>
    <w:rsid w:val="000B6AF2"/>
    <w:rsid w:val="000C19B9"/>
    <w:rsid w:val="000C1DCB"/>
    <w:rsid w:val="000C382B"/>
    <w:rsid w:val="000C4FFE"/>
    <w:rsid w:val="000C5015"/>
    <w:rsid w:val="000C5F44"/>
    <w:rsid w:val="000D5E30"/>
    <w:rsid w:val="000D6FD4"/>
    <w:rsid w:val="000D79E0"/>
    <w:rsid w:val="000E0AE4"/>
    <w:rsid w:val="000E3DBC"/>
    <w:rsid w:val="000F47B9"/>
    <w:rsid w:val="000F7136"/>
    <w:rsid w:val="00100E6D"/>
    <w:rsid w:val="00113CE3"/>
    <w:rsid w:val="00117522"/>
    <w:rsid w:val="00125EA6"/>
    <w:rsid w:val="001310B4"/>
    <w:rsid w:val="0014710C"/>
    <w:rsid w:val="0014736D"/>
    <w:rsid w:val="001542D8"/>
    <w:rsid w:val="0016464C"/>
    <w:rsid w:val="00167D32"/>
    <w:rsid w:val="00180C41"/>
    <w:rsid w:val="00182C4C"/>
    <w:rsid w:val="001844B7"/>
    <w:rsid w:val="00196957"/>
    <w:rsid w:val="00197D8D"/>
    <w:rsid w:val="001A1A75"/>
    <w:rsid w:val="001A2933"/>
    <w:rsid w:val="001A489D"/>
    <w:rsid w:val="001A7E9A"/>
    <w:rsid w:val="001B2121"/>
    <w:rsid w:val="001B488A"/>
    <w:rsid w:val="001C14B7"/>
    <w:rsid w:val="001C27A3"/>
    <w:rsid w:val="001C5295"/>
    <w:rsid w:val="001C5F1B"/>
    <w:rsid w:val="001C6388"/>
    <w:rsid w:val="001D1561"/>
    <w:rsid w:val="001D3A89"/>
    <w:rsid w:val="001E09FA"/>
    <w:rsid w:val="001E513B"/>
    <w:rsid w:val="00201649"/>
    <w:rsid w:val="00203540"/>
    <w:rsid w:val="00207C0E"/>
    <w:rsid w:val="0021612B"/>
    <w:rsid w:val="0022083A"/>
    <w:rsid w:val="00221D07"/>
    <w:rsid w:val="00226B52"/>
    <w:rsid w:val="00227E4A"/>
    <w:rsid w:val="00231679"/>
    <w:rsid w:val="00235818"/>
    <w:rsid w:val="0024582E"/>
    <w:rsid w:val="00245977"/>
    <w:rsid w:val="00245C56"/>
    <w:rsid w:val="0024670C"/>
    <w:rsid w:val="0024719E"/>
    <w:rsid w:val="00247CE4"/>
    <w:rsid w:val="00252224"/>
    <w:rsid w:val="002523DA"/>
    <w:rsid w:val="002547EF"/>
    <w:rsid w:val="00256D65"/>
    <w:rsid w:val="00261E36"/>
    <w:rsid w:val="00266932"/>
    <w:rsid w:val="00267E5E"/>
    <w:rsid w:val="00271F00"/>
    <w:rsid w:val="00273A80"/>
    <w:rsid w:val="00275BBA"/>
    <w:rsid w:val="00283F17"/>
    <w:rsid w:val="0029204E"/>
    <w:rsid w:val="00292650"/>
    <w:rsid w:val="0029631C"/>
    <w:rsid w:val="002A00E3"/>
    <w:rsid w:val="002A0194"/>
    <w:rsid w:val="002A3314"/>
    <w:rsid w:val="002A5F8B"/>
    <w:rsid w:val="002A7F6C"/>
    <w:rsid w:val="002C3837"/>
    <w:rsid w:val="002C3E35"/>
    <w:rsid w:val="002D6809"/>
    <w:rsid w:val="002D799D"/>
    <w:rsid w:val="002F3971"/>
    <w:rsid w:val="002F6488"/>
    <w:rsid w:val="00300641"/>
    <w:rsid w:val="00307965"/>
    <w:rsid w:val="003140C4"/>
    <w:rsid w:val="00315D4D"/>
    <w:rsid w:val="003178DE"/>
    <w:rsid w:val="00320839"/>
    <w:rsid w:val="003213F9"/>
    <w:rsid w:val="00323DBF"/>
    <w:rsid w:val="00324345"/>
    <w:rsid w:val="00326D85"/>
    <w:rsid w:val="0032771F"/>
    <w:rsid w:val="003309A8"/>
    <w:rsid w:val="00332B12"/>
    <w:rsid w:val="003407EF"/>
    <w:rsid w:val="003437EF"/>
    <w:rsid w:val="00343CEB"/>
    <w:rsid w:val="00351B07"/>
    <w:rsid w:val="00352CF2"/>
    <w:rsid w:val="0035407A"/>
    <w:rsid w:val="0035720D"/>
    <w:rsid w:val="003613EB"/>
    <w:rsid w:val="00363F0B"/>
    <w:rsid w:val="00364841"/>
    <w:rsid w:val="00370467"/>
    <w:rsid w:val="00371B29"/>
    <w:rsid w:val="0037656B"/>
    <w:rsid w:val="00377B43"/>
    <w:rsid w:val="00391769"/>
    <w:rsid w:val="003953E1"/>
    <w:rsid w:val="003956B3"/>
    <w:rsid w:val="003A68BE"/>
    <w:rsid w:val="003A6B5F"/>
    <w:rsid w:val="003A729F"/>
    <w:rsid w:val="003B0202"/>
    <w:rsid w:val="003B1805"/>
    <w:rsid w:val="003B3C9D"/>
    <w:rsid w:val="003B55FA"/>
    <w:rsid w:val="003B78E0"/>
    <w:rsid w:val="003C0197"/>
    <w:rsid w:val="003C4969"/>
    <w:rsid w:val="003D4FF5"/>
    <w:rsid w:val="003E41D5"/>
    <w:rsid w:val="003E46BA"/>
    <w:rsid w:val="003E7D22"/>
    <w:rsid w:val="003F4F44"/>
    <w:rsid w:val="003F74C1"/>
    <w:rsid w:val="00405B1A"/>
    <w:rsid w:val="00410C76"/>
    <w:rsid w:val="00411907"/>
    <w:rsid w:val="00413CA8"/>
    <w:rsid w:val="00415BA8"/>
    <w:rsid w:val="0041714A"/>
    <w:rsid w:val="00417EE3"/>
    <w:rsid w:val="004207EB"/>
    <w:rsid w:val="00420FC7"/>
    <w:rsid w:val="00421BC4"/>
    <w:rsid w:val="00437276"/>
    <w:rsid w:val="00446EFE"/>
    <w:rsid w:val="00456B54"/>
    <w:rsid w:val="00456DB3"/>
    <w:rsid w:val="00464643"/>
    <w:rsid w:val="004671E2"/>
    <w:rsid w:val="004733E4"/>
    <w:rsid w:val="00475BD2"/>
    <w:rsid w:val="00480496"/>
    <w:rsid w:val="00480D17"/>
    <w:rsid w:val="00486793"/>
    <w:rsid w:val="004A1D0B"/>
    <w:rsid w:val="004A2037"/>
    <w:rsid w:val="004A5D7D"/>
    <w:rsid w:val="004B2D06"/>
    <w:rsid w:val="004C2CE7"/>
    <w:rsid w:val="004D409B"/>
    <w:rsid w:val="004D703C"/>
    <w:rsid w:val="004D79C2"/>
    <w:rsid w:val="004E3179"/>
    <w:rsid w:val="004E34DA"/>
    <w:rsid w:val="004F0FB8"/>
    <w:rsid w:val="004F4F98"/>
    <w:rsid w:val="004F69F6"/>
    <w:rsid w:val="004F79AC"/>
    <w:rsid w:val="005017CF"/>
    <w:rsid w:val="00501F8D"/>
    <w:rsid w:val="00503EA7"/>
    <w:rsid w:val="005114E9"/>
    <w:rsid w:val="00514806"/>
    <w:rsid w:val="005207D8"/>
    <w:rsid w:val="0053464E"/>
    <w:rsid w:val="00534F1E"/>
    <w:rsid w:val="00536278"/>
    <w:rsid w:val="0054272D"/>
    <w:rsid w:val="00554F9F"/>
    <w:rsid w:val="0055630D"/>
    <w:rsid w:val="00562917"/>
    <w:rsid w:val="005750F6"/>
    <w:rsid w:val="0057615C"/>
    <w:rsid w:val="00583B82"/>
    <w:rsid w:val="0058555D"/>
    <w:rsid w:val="00586228"/>
    <w:rsid w:val="00586F4C"/>
    <w:rsid w:val="00587548"/>
    <w:rsid w:val="00595045"/>
    <w:rsid w:val="005A053D"/>
    <w:rsid w:val="005A1D97"/>
    <w:rsid w:val="005A26C3"/>
    <w:rsid w:val="005A58F3"/>
    <w:rsid w:val="005B6AF4"/>
    <w:rsid w:val="005B7A73"/>
    <w:rsid w:val="005C04CB"/>
    <w:rsid w:val="005C2B0D"/>
    <w:rsid w:val="005C55CF"/>
    <w:rsid w:val="005C5609"/>
    <w:rsid w:val="005D16AD"/>
    <w:rsid w:val="005D5CDF"/>
    <w:rsid w:val="005D72E1"/>
    <w:rsid w:val="005E41F1"/>
    <w:rsid w:val="005E6E16"/>
    <w:rsid w:val="005F03C1"/>
    <w:rsid w:val="005F0421"/>
    <w:rsid w:val="005F1D5A"/>
    <w:rsid w:val="005F400E"/>
    <w:rsid w:val="005F7342"/>
    <w:rsid w:val="005F75F1"/>
    <w:rsid w:val="0060040D"/>
    <w:rsid w:val="00603A08"/>
    <w:rsid w:val="00604635"/>
    <w:rsid w:val="00610A3C"/>
    <w:rsid w:val="00625974"/>
    <w:rsid w:val="006270D1"/>
    <w:rsid w:val="00627E32"/>
    <w:rsid w:val="00627F48"/>
    <w:rsid w:val="006309B0"/>
    <w:rsid w:val="00630C23"/>
    <w:rsid w:val="006402B5"/>
    <w:rsid w:val="00644B22"/>
    <w:rsid w:val="006460AB"/>
    <w:rsid w:val="00650FAB"/>
    <w:rsid w:val="00653C0C"/>
    <w:rsid w:val="00660EF7"/>
    <w:rsid w:val="00663FCF"/>
    <w:rsid w:val="006642A3"/>
    <w:rsid w:val="006652A2"/>
    <w:rsid w:val="00671398"/>
    <w:rsid w:val="00680B25"/>
    <w:rsid w:val="006867F6"/>
    <w:rsid w:val="00690152"/>
    <w:rsid w:val="00690206"/>
    <w:rsid w:val="0069084B"/>
    <w:rsid w:val="006932A8"/>
    <w:rsid w:val="006937FF"/>
    <w:rsid w:val="006A48A7"/>
    <w:rsid w:val="006B216D"/>
    <w:rsid w:val="006B4BA1"/>
    <w:rsid w:val="006B5EBE"/>
    <w:rsid w:val="006C0E17"/>
    <w:rsid w:val="006C5CF5"/>
    <w:rsid w:val="006D44D4"/>
    <w:rsid w:val="006E0C2B"/>
    <w:rsid w:val="006E7DDC"/>
    <w:rsid w:val="006F0D13"/>
    <w:rsid w:val="006F3F29"/>
    <w:rsid w:val="006F4A82"/>
    <w:rsid w:val="0070373B"/>
    <w:rsid w:val="00703EE7"/>
    <w:rsid w:val="00720396"/>
    <w:rsid w:val="00720A08"/>
    <w:rsid w:val="00724FA4"/>
    <w:rsid w:val="00726D95"/>
    <w:rsid w:val="00730800"/>
    <w:rsid w:val="007356BC"/>
    <w:rsid w:val="00737802"/>
    <w:rsid w:val="00741EA4"/>
    <w:rsid w:val="00742EF1"/>
    <w:rsid w:val="00753662"/>
    <w:rsid w:val="00755127"/>
    <w:rsid w:val="00760187"/>
    <w:rsid w:val="007602AA"/>
    <w:rsid w:val="007652EF"/>
    <w:rsid w:val="00765F7F"/>
    <w:rsid w:val="00767046"/>
    <w:rsid w:val="0076795A"/>
    <w:rsid w:val="00772BDC"/>
    <w:rsid w:val="00776351"/>
    <w:rsid w:val="00780792"/>
    <w:rsid w:val="007904EE"/>
    <w:rsid w:val="00796562"/>
    <w:rsid w:val="007A3FC4"/>
    <w:rsid w:val="007A44B4"/>
    <w:rsid w:val="007A55A8"/>
    <w:rsid w:val="007A7D3D"/>
    <w:rsid w:val="007B05DF"/>
    <w:rsid w:val="007B225D"/>
    <w:rsid w:val="007B77C2"/>
    <w:rsid w:val="007C174F"/>
    <w:rsid w:val="007C1C64"/>
    <w:rsid w:val="007C5077"/>
    <w:rsid w:val="007D03EA"/>
    <w:rsid w:val="007D604C"/>
    <w:rsid w:val="007E2B69"/>
    <w:rsid w:val="007E48BC"/>
    <w:rsid w:val="007E4F59"/>
    <w:rsid w:val="007E5A1D"/>
    <w:rsid w:val="007E79F7"/>
    <w:rsid w:val="007F22FD"/>
    <w:rsid w:val="007F3630"/>
    <w:rsid w:val="007F452E"/>
    <w:rsid w:val="007F5CCE"/>
    <w:rsid w:val="00801859"/>
    <w:rsid w:val="00802423"/>
    <w:rsid w:val="008061C0"/>
    <w:rsid w:val="00807559"/>
    <w:rsid w:val="008200AA"/>
    <w:rsid w:val="008326BF"/>
    <w:rsid w:val="008378BD"/>
    <w:rsid w:val="008450BC"/>
    <w:rsid w:val="008452AB"/>
    <w:rsid w:val="00850DC8"/>
    <w:rsid w:val="0085334B"/>
    <w:rsid w:val="008552A1"/>
    <w:rsid w:val="008556E2"/>
    <w:rsid w:val="008567DE"/>
    <w:rsid w:val="0085702D"/>
    <w:rsid w:val="00857076"/>
    <w:rsid w:val="00860D71"/>
    <w:rsid w:val="00864140"/>
    <w:rsid w:val="00870214"/>
    <w:rsid w:val="00885C51"/>
    <w:rsid w:val="00885EB0"/>
    <w:rsid w:val="00891F4B"/>
    <w:rsid w:val="0089264A"/>
    <w:rsid w:val="00896B85"/>
    <w:rsid w:val="008A22BE"/>
    <w:rsid w:val="008C1B36"/>
    <w:rsid w:val="008C5424"/>
    <w:rsid w:val="008C672F"/>
    <w:rsid w:val="008C7CC3"/>
    <w:rsid w:val="008D06C6"/>
    <w:rsid w:val="008E6250"/>
    <w:rsid w:val="008F3DB4"/>
    <w:rsid w:val="00900AFB"/>
    <w:rsid w:val="00902AF6"/>
    <w:rsid w:val="00902C2C"/>
    <w:rsid w:val="00920249"/>
    <w:rsid w:val="00924C80"/>
    <w:rsid w:val="00931432"/>
    <w:rsid w:val="00931CA1"/>
    <w:rsid w:val="00932F14"/>
    <w:rsid w:val="0093453B"/>
    <w:rsid w:val="0094047D"/>
    <w:rsid w:val="0094247F"/>
    <w:rsid w:val="00942D60"/>
    <w:rsid w:val="00952D36"/>
    <w:rsid w:val="009545A7"/>
    <w:rsid w:val="009630DC"/>
    <w:rsid w:val="0096523B"/>
    <w:rsid w:val="00966EE3"/>
    <w:rsid w:val="00972D06"/>
    <w:rsid w:val="00975DE9"/>
    <w:rsid w:val="0097616F"/>
    <w:rsid w:val="00996AE2"/>
    <w:rsid w:val="009A391C"/>
    <w:rsid w:val="009A50F2"/>
    <w:rsid w:val="009A740E"/>
    <w:rsid w:val="009B008D"/>
    <w:rsid w:val="009B5337"/>
    <w:rsid w:val="009C0813"/>
    <w:rsid w:val="009D2479"/>
    <w:rsid w:val="009E0A61"/>
    <w:rsid w:val="009E0EEA"/>
    <w:rsid w:val="009E3010"/>
    <w:rsid w:val="009F007E"/>
    <w:rsid w:val="009F29F3"/>
    <w:rsid w:val="009F5293"/>
    <w:rsid w:val="009F6CB7"/>
    <w:rsid w:val="009F6CF4"/>
    <w:rsid w:val="009F7065"/>
    <w:rsid w:val="00A04975"/>
    <w:rsid w:val="00A05E61"/>
    <w:rsid w:val="00A10865"/>
    <w:rsid w:val="00A15CDA"/>
    <w:rsid w:val="00A21E9A"/>
    <w:rsid w:val="00A33CC3"/>
    <w:rsid w:val="00A4175D"/>
    <w:rsid w:val="00A56DC7"/>
    <w:rsid w:val="00A617DC"/>
    <w:rsid w:val="00A639BD"/>
    <w:rsid w:val="00A706EA"/>
    <w:rsid w:val="00A74FD1"/>
    <w:rsid w:val="00A77BFA"/>
    <w:rsid w:val="00A8193E"/>
    <w:rsid w:val="00A84A58"/>
    <w:rsid w:val="00A90A14"/>
    <w:rsid w:val="00AC5E45"/>
    <w:rsid w:val="00AD00B1"/>
    <w:rsid w:val="00AD4ECA"/>
    <w:rsid w:val="00AF06FC"/>
    <w:rsid w:val="00AF2890"/>
    <w:rsid w:val="00AF3391"/>
    <w:rsid w:val="00AF387F"/>
    <w:rsid w:val="00B00E7F"/>
    <w:rsid w:val="00B12F1E"/>
    <w:rsid w:val="00B15A14"/>
    <w:rsid w:val="00B173DA"/>
    <w:rsid w:val="00B21DCC"/>
    <w:rsid w:val="00B25F37"/>
    <w:rsid w:val="00B27803"/>
    <w:rsid w:val="00B373E9"/>
    <w:rsid w:val="00B37BF0"/>
    <w:rsid w:val="00B44422"/>
    <w:rsid w:val="00B45278"/>
    <w:rsid w:val="00B46EA0"/>
    <w:rsid w:val="00B66A77"/>
    <w:rsid w:val="00B731D3"/>
    <w:rsid w:val="00B7584A"/>
    <w:rsid w:val="00B839A3"/>
    <w:rsid w:val="00B902BD"/>
    <w:rsid w:val="00B912CD"/>
    <w:rsid w:val="00B92316"/>
    <w:rsid w:val="00B96F7D"/>
    <w:rsid w:val="00BA1988"/>
    <w:rsid w:val="00BA24E2"/>
    <w:rsid w:val="00BA2694"/>
    <w:rsid w:val="00BA549D"/>
    <w:rsid w:val="00BC73EC"/>
    <w:rsid w:val="00BD231F"/>
    <w:rsid w:val="00BD2A39"/>
    <w:rsid w:val="00BD2C6B"/>
    <w:rsid w:val="00BD2E80"/>
    <w:rsid w:val="00BE05D2"/>
    <w:rsid w:val="00BE11B8"/>
    <w:rsid w:val="00BF1AD4"/>
    <w:rsid w:val="00BF487C"/>
    <w:rsid w:val="00BF7FF0"/>
    <w:rsid w:val="00C0447B"/>
    <w:rsid w:val="00C057F4"/>
    <w:rsid w:val="00C12502"/>
    <w:rsid w:val="00C129BA"/>
    <w:rsid w:val="00C15A6D"/>
    <w:rsid w:val="00C26D06"/>
    <w:rsid w:val="00C35C3D"/>
    <w:rsid w:val="00C36578"/>
    <w:rsid w:val="00C40AA5"/>
    <w:rsid w:val="00C416F3"/>
    <w:rsid w:val="00C42CDD"/>
    <w:rsid w:val="00C46F70"/>
    <w:rsid w:val="00C476D0"/>
    <w:rsid w:val="00C57B8D"/>
    <w:rsid w:val="00C60B94"/>
    <w:rsid w:val="00C61AC1"/>
    <w:rsid w:val="00C63704"/>
    <w:rsid w:val="00C7737D"/>
    <w:rsid w:val="00C836E3"/>
    <w:rsid w:val="00C86577"/>
    <w:rsid w:val="00C92E07"/>
    <w:rsid w:val="00C96868"/>
    <w:rsid w:val="00CA0416"/>
    <w:rsid w:val="00CA641D"/>
    <w:rsid w:val="00CB13FE"/>
    <w:rsid w:val="00CC560B"/>
    <w:rsid w:val="00CC75E2"/>
    <w:rsid w:val="00CC7AE9"/>
    <w:rsid w:val="00CD1C48"/>
    <w:rsid w:val="00CD2F0E"/>
    <w:rsid w:val="00CD46EB"/>
    <w:rsid w:val="00CD6D9F"/>
    <w:rsid w:val="00CD7EBF"/>
    <w:rsid w:val="00CE1228"/>
    <w:rsid w:val="00CE7740"/>
    <w:rsid w:val="00D0019B"/>
    <w:rsid w:val="00D03077"/>
    <w:rsid w:val="00D031FE"/>
    <w:rsid w:val="00D0343C"/>
    <w:rsid w:val="00D056F1"/>
    <w:rsid w:val="00D079B2"/>
    <w:rsid w:val="00D11171"/>
    <w:rsid w:val="00D15080"/>
    <w:rsid w:val="00D22F3C"/>
    <w:rsid w:val="00D23DB6"/>
    <w:rsid w:val="00D251CD"/>
    <w:rsid w:val="00D318ED"/>
    <w:rsid w:val="00D31E84"/>
    <w:rsid w:val="00D36399"/>
    <w:rsid w:val="00D4133A"/>
    <w:rsid w:val="00D43FE6"/>
    <w:rsid w:val="00D440A3"/>
    <w:rsid w:val="00D46E99"/>
    <w:rsid w:val="00D51A95"/>
    <w:rsid w:val="00D53E5E"/>
    <w:rsid w:val="00D60568"/>
    <w:rsid w:val="00D62A06"/>
    <w:rsid w:val="00D6412A"/>
    <w:rsid w:val="00D67F2A"/>
    <w:rsid w:val="00D70C7A"/>
    <w:rsid w:val="00D726FE"/>
    <w:rsid w:val="00D76C84"/>
    <w:rsid w:val="00D81D38"/>
    <w:rsid w:val="00D86B80"/>
    <w:rsid w:val="00D90B1A"/>
    <w:rsid w:val="00D9620E"/>
    <w:rsid w:val="00DA0535"/>
    <w:rsid w:val="00DA0D8F"/>
    <w:rsid w:val="00DA10A8"/>
    <w:rsid w:val="00DA5061"/>
    <w:rsid w:val="00DB1E08"/>
    <w:rsid w:val="00DB2973"/>
    <w:rsid w:val="00DC1B56"/>
    <w:rsid w:val="00DC2129"/>
    <w:rsid w:val="00DC382A"/>
    <w:rsid w:val="00DC6570"/>
    <w:rsid w:val="00DC7FBC"/>
    <w:rsid w:val="00DD1589"/>
    <w:rsid w:val="00DD1C33"/>
    <w:rsid w:val="00DD2837"/>
    <w:rsid w:val="00DD3C5E"/>
    <w:rsid w:val="00DD5DF1"/>
    <w:rsid w:val="00DE22C3"/>
    <w:rsid w:val="00DF25C3"/>
    <w:rsid w:val="00E0379E"/>
    <w:rsid w:val="00E04062"/>
    <w:rsid w:val="00E063C6"/>
    <w:rsid w:val="00E066BA"/>
    <w:rsid w:val="00E1370F"/>
    <w:rsid w:val="00E2003B"/>
    <w:rsid w:val="00E203C2"/>
    <w:rsid w:val="00E225FF"/>
    <w:rsid w:val="00E26390"/>
    <w:rsid w:val="00E279D8"/>
    <w:rsid w:val="00E319B1"/>
    <w:rsid w:val="00E35ADC"/>
    <w:rsid w:val="00E401F5"/>
    <w:rsid w:val="00E405FC"/>
    <w:rsid w:val="00E44E0D"/>
    <w:rsid w:val="00E5492F"/>
    <w:rsid w:val="00E61A55"/>
    <w:rsid w:val="00E62DEF"/>
    <w:rsid w:val="00E70A86"/>
    <w:rsid w:val="00E70CB7"/>
    <w:rsid w:val="00E73A8A"/>
    <w:rsid w:val="00E73BCA"/>
    <w:rsid w:val="00E75CEA"/>
    <w:rsid w:val="00E777EC"/>
    <w:rsid w:val="00E80FCD"/>
    <w:rsid w:val="00E81297"/>
    <w:rsid w:val="00E85224"/>
    <w:rsid w:val="00EA085A"/>
    <w:rsid w:val="00EA7F2F"/>
    <w:rsid w:val="00EC00DE"/>
    <w:rsid w:val="00EC273B"/>
    <w:rsid w:val="00EC30E1"/>
    <w:rsid w:val="00EC3D6D"/>
    <w:rsid w:val="00ED172A"/>
    <w:rsid w:val="00ED2E87"/>
    <w:rsid w:val="00EE5CF3"/>
    <w:rsid w:val="00EE63E1"/>
    <w:rsid w:val="00F00522"/>
    <w:rsid w:val="00F11F6C"/>
    <w:rsid w:val="00F14BEC"/>
    <w:rsid w:val="00F174E4"/>
    <w:rsid w:val="00F225C5"/>
    <w:rsid w:val="00F231FB"/>
    <w:rsid w:val="00F2587A"/>
    <w:rsid w:val="00F34C4A"/>
    <w:rsid w:val="00F3715D"/>
    <w:rsid w:val="00F420C8"/>
    <w:rsid w:val="00F42A4C"/>
    <w:rsid w:val="00F50A61"/>
    <w:rsid w:val="00F50BAA"/>
    <w:rsid w:val="00F5440F"/>
    <w:rsid w:val="00F56A12"/>
    <w:rsid w:val="00F604DE"/>
    <w:rsid w:val="00F6533F"/>
    <w:rsid w:val="00F70FDF"/>
    <w:rsid w:val="00F82FF0"/>
    <w:rsid w:val="00F83E2B"/>
    <w:rsid w:val="00F94A45"/>
    <w:rsid w:val="00F9533F"/>
    <w:rsid w:val="00FA01B2"/>
    <w:rsid w:val="00FA0B5C"/>
    <w:rsid w:val="00FB7512"/>
    <w:rsid w:val="00FC7678"/>
    <w:rsid w:val="00FC7A71"/>
    <w:rsid w:val="00FD080E"/>
    <w:rsid w:val="00FD7547"/>
    <w:rsid w:val="00FE0D0F"/>
    <w:rsid w:val="00FF2E58"/>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2E9F72"/>
  <w15:docId w15:val="{A3584384-5FCD-4D0B-BE7F-84EE41A25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B373E9"/>
    <w:pPr>
      <w:keepNext/>
      <w:tabs>
        <w:tab w:val="left" w:pos="851"/>
      </w:tabs>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B373E9"/>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aliases w:val="FS Hyperlink"/>
    <w:basedOn w:val="DefaultParagraphFont"/>
    <w:uiPriority w:val="99"/>
    <w:qFormat/>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FSFootnote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styleId="CommentSubject">
    <w:name w:val="annotation subject"/>
    <w:basedOn w:val="CommentText"/>
    <w:next w:val="CommentText"/>
    <w:link w:val="CommentSubjectChar"/>
    <w:semiHidden/>
    <w:unhideWhenUsed/>
    <w:rsid w:val="007A55A8"/>
    <w:rPr>
      <w:b/>
      <w:bCs/>
    </w:rPr>
  </w:style>
  <w:style w:type="character" w:customStyle="1" w:styleId="CommentSubjectChar">
    <w:name w:val="Comment Subject Char"/>
    <w:basedOn w:val="CommentTextChar"/>
    <w:link w:val="CommentSubject"/>
    <w:semiHidden/>
    <w:rsid w:val="007A55A8"/>
    <w:rPr>
      <w:rFonts w:ascii="Arial" w:hAnsi="Arial"/>
      <w:b/>
      <w:bCs/>
      <w:lang w:eastAsia="en-US" w:bidi="en-US"/>
    </w:rPr>
  </w:style>
  <w:style w:type="character" w:customStyle="1" w:styleId="FootnoteTextChar">
    <w:name w:val="Footnote Text Char"/>
    <w:aliases w:val="Footnotes Text Char,FSFootnotes Text Char,FSFootnote Text Char"/>
    <w:basedOn w:val="DefaultParagraphFont"/>
    <w:link w:val="FootnoteText"/>
    <w:rsid w:val="00C63704"/>
    <w:rPr>
      <w:rFonts w:ascii="Arial" w:hAnsi="Arial"/>
      <w:lang w:eastAsia="en-US" w:bidi="en-US"/>
    </w:rPr>
  </w:style>
  <w:style w:type="table" w:customStyle="1" w:styleId="TableGrid2">
    <w:name w:val="Table Grid2"/>
    <w:basedOn w:val="TableNormal"/>
    <w:next w:val="TableGrid"/>
    <w:uiPriority w:val="59"/>
    <w:rsid w:val="00C63704"/>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63704"/>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1D3A89"/>
    <w:pPr>
      <w:ind w:left="720"/>
      <w:contextualSpacing/>
    </w:pPr>
  </w:style>
  <w:style w:type="character" w:customStyle="1" w:styleId="ref-title">
    <w:name w:val="ref-title"/>
    <w:basedOn w:val="DefaultParagraphFont"/>
    <w:rsid w:val="00C35C3D"/>
  </w:style>
  <w:style w:type="character" w:customStyle="1" w:styleId="ref-journal">
    <w:name w:val="ref-journal"/>
    <w:basedOn w:val="DefaultParagraphFont"/>
    <w:rsid w:val="00C35C3D"/>
  </w:style>
  <w:style w:type="character" w:customStyle="1" w:styleId="ref-vol">
    <w:name w:val="ref-vol"/>
    <w:basedOn w:val="DefaultParagraphFont"/>
    <w:rsid w:val="00C35C3D"/>
  </w:style>
  <w:style w:type="paragraph" w:styleId="Revision">
    <w:name w:val="Revision"/>
    <w:hidden/>
    <w:uiPriority w:val="99"/>
    <w:semiHidden/>
    <w:rsid w:val="00FD080E"/>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cdc.gov/biosafety/publications/bmbl5/index.htm" TargetMode="External"/><Relationship Id="rId3" Type="http://schemas.openxmlformats.org/officeDocument/2006/relationships/customXml" Target="../customXml/item3.xml"/><Relationship Id="rId21" Type="http://schemas.openxmlformats.org/officeDocument/2006/relationships/hyperlink" Target="http://www.fao.org/docrep/009/a0691e/A0691E03.ht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canada.ca/en/health-canada/services/food-nutrition/public-involvement-partnerships/modification-permitted-food-enzymes-aspergillus-fijiensis.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23" Type="http://schemas.openxmlformats.org/officeDocument/2006/relationships/hyperlink" Target="https://www.qmul.ac.uk/sbcs/iubmb/enzyme/EC3/2/1/26.html" TargetMode="Externa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www.allergenonline.com/" TargetMode="External"/><Relationship Id="rId22" Type="http://schemas.openxmlformats.org/officeDocument/2006/relationships/hyperlink" Target="https://www.foodstandards.gov.au/code/applications/Documents/A1055%20Addition%20of%20scFOS%20AppR%20SD1%20Risk%20Assess.pdf" TargetMode="External"/><Relationship Id="rId9" Type="http://schemas.openxmlformats.org/officeDocument/2006/relationships/styles" Target="styl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allergenonline.org/" TargetMode="External"/><Relationship Id="rId2" Type="http://schemas.openxmlformats.org/officeDocument/2006/relationships/hyperlink" Target="https://www.cdc.gov/biosafety/publications/bmbl5/index.htm" TargetMode="External"/><Relationship Id="rId1" Type="http://schemas.openxmlformats.org/officeDocument/2006/relationships/hyperlink" Target="https://www.aspergilluspenicilli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74834B-5A12-41CB-AC04-D5354AA2C0C5}"/>
</file>

<file path=customXml/itemProps2.xml><?xml version="1.0" encoding="utf-8"?>
<ds:datastoreItem xmlns:ds="http://schemas.openxmlformats.org/officeDocument/2006/customXml" ds:itemID="{FC9EFE24-5BB3-483B-B07F-DD8BF87EAD83}"/>
</file>

<file path=customXml/itemProps3.xml><?xml version="1.0" encoding="utf-8"?>
<ds:datastoreItem xmlns:ds="http://schemas.openxmlformats.org/officeDocument/2006/customXml" ds:itemID="{7334962D-16DE-467A-9179-84E3CA3F3FF1}"/>
</file>

<file path=customXml/itemProps4.xml><?xml version="1.0" encoding="utf-8"?>
<ds:datastoreItem xmlns:ds="http://schemas.openxmlformats.org/officeDocument/2006/customXml" ds:itemID="{AC2F1EBF-F00C-4724-9A14-7CED565A23C0}">
  <ds:schemaRefs>
    <ds:schemaRef ds:uri="Microsoft.SharePoint.Taxonomy.ContentTypeSync"/>
  </ds:schemaRefs>
</ds:datastoreItem>
</file>

<file path=customXml/itemProps5.xml><?xml version="1.0" encoding="utf-8"?>
<ds:datastoreItem xmlns:ds="http://schemas.openxmlformats.org/officeDocument/2006/customXml" ds:itemID="{2674834B-5A12-41CB-AC04-D5354AA2C0C5}">
  <ds:schemaRefs>
    <ds:schemaRef ds:uri="http://schemas.microsoft.com/sharepoint/v3/contenttype/forms"/>
  </ds:schemaRefs>
</ds:datastoreItem>
</file>

<file path=customXml/itemProps6.xml><?xml version="1.0" encoding="utf-8"?>
<ds:datastoreItem xmlns:ds="http://schemas.openxmlformats.org/officeDocument/2006/customXml" ds:itemID="{BCDC210F-AAF4-4DDC-8C01-6B509CF1D949}"/>
</file>

<file path=customXml/itemProps7.xml><?xml version="1.0" encoding="utf-8"?>
<ds:datastoreItem xmlns:ds="http://schemas.openxmlformats.org/officeDocument/2006/customXml" ds:itemID="{EC4011FC-919E-4DEC-9703-E4E29F348FB8}"/>
</file>

<file path=docProps/app.xml><?xml version="1.0" encoding="utf-8"?>
<Properties xmlns="http://schemas.openxmlformats.org/officeDocument/2006/extended-properties" xmlns:vt="http://schemas.openxmlformats.org/officeDocument/2006/docPropsVTypes">
  <Template>Normal</Template>
  <TotalTime>4</TotalTime>
  <Pages>13</Pages>
  <Words>5256</Words>
  <Characters>29964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35150</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seymok</dc:creator>
  <cp:keywords/>
  <dc:description/>
  <cp:lastModifiedBy>Tailee Vecchi</cp:lastModifiedBy>
  <cp:revision>4</cp:revision>
  <cp:lastPrinted>2011-08-22T03:30:00Z</cp:lastPrinted>
  <dcterms:created xsi:type="dcterms:W3CDTF">2021-11-01T22:15:00Z</dcterms:created>
  <dcterms:modified xsi:type="dcterms:W3CDTF">2021-11-02T22:03:00Z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9804e658-f1ee-4789-b8de-e65c8510fc7a</vt:lpwstr>
  </property>
  <property fmtid="{D5CDD505-2E9C-101B-9397-08002B2CF9AE}" pid="3" name="bjSaver">
    <vt:lpwstr>LlgSMo3yJ+fkgNEgbtQQbG6KKfc49ivc</vt:lpwstr>
  </property>
  <property fmtid="{D5CDD505-2E9C-101B-9397-08002B2CF9AE}" pid="4" name="ContentTypeId">
    <vt:lpwstr>0x010100CB2FFA9FD6109347A9495CD5860AFAE6</vt:lpwstr>
  </property>
  <property fmtid="{D5CDD505-2E9C-101B-9397-08002B2CF9AE}" pid="5" name="DisposalClass">
    <vt:lpwstr/>
  </property>
  <property fmtid="{D5CDD505-2E9C-101B-9397-08002B2CF9AE}" pid="6" name="BCS_">
    <vt:lpwstr>7;#Evaluation|43bd8487-b9f6-4055-946c-a118d364275d</vt:lpwstr>
  </property>
  <property fmtid="{D5CDD505-2E9C-101B-9397-08002B2CF9AE}" pid="7" name="_dlc_DocIdItemGuid">
    <vt:lpwstr>9162ffb2-995c-4bd2-aa0d-101f21a597c0</vt:lpwstr>
  </property>
  <property fmtid="{D5CDD505-2E9C-101B-9397-08002B2CF9AE}" pid="8"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9" name="bjDocumentLabelXML-0">
    <vt:lpwstr>ames.com/2008/01/sie/internal/label"&gt;&lt;element uid="66ddac19-06c4-4e63-b4dd-d8240d87a23f" value="" /&gt;&lt;/sisl&gt;</vt:lpwstr>
  </property>
  <property fmtid="{D5CDD505-2E9C-101B-9397-08002B2CF9AE}" pid="10" name="bjDocumentSecurityLabel">
    <vt:lpwstr>NO SECURITY CLASSIFICATION REQUIRED</vt:lpwstr>
  </property>
</Properties>
</file>